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5A" w:rsidRPr="00ED78A3" w:rsidRDefault="00ED78A3" w:rsidP="00060007">
      <w:pPr>
        <w:jc w:val="both"/>
        <w:rPr>
          <w:b/>
          <w:sz w:val="28"/>
          <w:szCs w:val="28"/>
          <w:u w:val="single"/>
        </w:rPr>
      </w:pPr>
      <w:r w:rsidRPr="00ED78A3">
        <w:rPr>
          <w:b/>
          <w:sz w:val="28"/>
          <w:szCs w:val="28"/>
          <w:u w:val="single"/>
        </w:rPr>
        <w:t>Yerel Eylem Grupları için Y</w:t>
      </w:r>
      <w:r w:rsidR="003E0300" w:rsidRPr="00ED78A3">
        <w:rPr>
          <w:b/>
          <w:sz w:val="28"/>
          <w:szCs w:val="28"/>
          <w:u w:val="single"/>
        </w:rPr>
        <w:t xml:space="preserve">ol </w:t>
      </w:r>
      <w:r w:rsidRPr="00ED78A3">
        <w:rPr>
          <w:b/>
          <w:sz w:val="28"/>
          <w:szCs w:val="28"/>
          <w:u w:val="single"/>
        </w:rPr>
        <w:t>H</w:t>
      </w:r>
      <w:r w:rsidR="003E0300" w:rsidRPr="00ED78A3">
        <w:rPr>
          <w:b/>
          <w:sz w:val="28"/>
          <w:szCs w:val="28"/>
          <w:u w:val="single"/>
        </w:rPr>
        <w:t>aritası:</w:t>
      </w:r>
    </w:p>
    <w:p w:rsidR="008C6448" w:rsidRPr="00FC7E6C" w:rsidRDefault="008C6448" w:rsidP="00060007">
      <w:pPr>
        <w:jc w:val="both"/>
        <w:rPr>
          <w:sz w:val="24"/>
          <w:szCs w:val="24"/>
        </w:rPr>
      </w:pPr>
      <w:r w:rsidRPr="00FC7E6C">
        <w:rPr>
          <w:sz w:val="24"/>
          <w:szCs w:val="24"/>
        </w:rPr>
        <w:t xml:space="preserve">Yerel Eylem Gruplarının LEADER tedbiri kapsamında izleyecekleri yol haritası aşağıdaki </w:t>
      </w:r>
      <w:r w:rsidR="00903D51" w:rsidRPr="00FC7E6C">
        <w:rPr>
          <w:sz w:val="24"/>
          <w:szCs w:val="24"/>
        </w:rPr>
        <w:t>diyagramda</w:t>
      </w:r>
      <w:r w:rsidRPr="00FC7E6C">
        <w:rPr>
          <w:sz w:val="24"/>
          <w:szCs w:val="24"/>
        </w:rPr>
        <w:t xml:space="preserve"> özet olarak gösterilmiştir.</w:t>
      </w:r>
      <w:r w:rsidR="00457AAB">
        <w:rPr>
          <w:sz w:val="24"/>
          <w:szCs w:val="24"/>
        </w:rPr>
        <w:t xml:space="preserve"> Yerel Eylem Gruplarının faaliyet ve işlemlerini planlarken bu hartadaki adımları göz önünde bulundurmaları önem arz etmektedir.</w:t>
      </w:r>
    </w:p>
    <w:p w:rsidR="008C6448" w:rsidRDefault="008C6448" w:rsidP="00060007">
      <w:pPr>
        <w:jc w:val="both"/>
        <w:rPr>
          <w:b/>
          <w:sz w:val="24"/>
          <w:szCs w:val="24"/>
          <w:u w:val="single"/>
        </w:rPr>
      </w:pPr>
      <w:r>
        <w:rPr>
          <w:noProof/>
          <w:lang w:val="en-GB" w:eastAsia="en-GB"/>
        </w:rPr>
        <w:drawing>
          <wp:inline distT="0" distB="0" distL="0" distR="0" wp14:anchorId="6E3E7628" wp14:editId="6D47C2A8">
            <wp:extent cx="5572125" cy="3419475"/>
            <wp:effectExtent l="0" t="0" r="0" b="9525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8C6448" w:rsidRDefault="008C6448" w:rsidP="00060007">
      <w:pPr>
        <w:jc w:val="both"/>
        <w:rPr>
          <w:b/>
          <w:sz w:val="24"/>
          <w:szCs w:val="24"/>
          <w:u w:val="single"/>
        </w:rPr>
      </w:pPr>
    </w:p>
    <w:p w:rsidR="00C15985" w:rsidRDefault="00C15985" w:rsidP="00060007">
      <w:pPr>
        <w:jc w:val="both"/>
        <w:rPr>
          <w:b/>
          <w:sz w:val="24"/>
          <w:szCs w:val="24"/>
          <w:u w:val="single"/>
        </w:rPr>
      </w:pPr>
    </w:p>
    <w:p w:rsidR="00ED78A3" w:rsidRPr="00241890" w:rsidRDefault="008C6448" w:rsidP="00ED78A3">
      <w:pPr>
        <w:jc w:val="both"/>
        <w:rPr>
          <w:b/>
          <w:sz w:val="24"/>
          <w:szCs w:val="24"/>
        </w:rPr>
      </w:pPr>
      <w:r w:rsidRPr="00241890">
        <w:rPr>
          <w:b/>
          <w:sz w:val="24"/>
          <w:szCs w:val="24"/>
        </w:rPr>
        <w:t xml:space="preserve">1. </w:t>
      </w:r>
      <w:proofErr w:type="spellStart"/>
      <w:r w:rsidRPr="00241890">
        <w:rPr>
          <w:b/>
          <w:sz w:val="24"/>
          <w:szCs w:val="24"/>
        </w:rPr>
        <w:t>YKS'nin</w:t>
      </w:r>
      <w:proofErr w:type="spellEnd"/>
      <w:r w:rsidRPr="00241890">
        <w:rPr>
          <w:b/>
          <w:sz w:val="24"/>
          <w:szCs w:val="24"/>
        </w:rPr>
        <w:t xml:space="preserve"> D</w:t>
      </w:r>
      <w:r w:rsidR="00351579" w:rsidRPr="00241890">
        <w:rPr>
          <w:b/>
          <w:sz w:val="24"/>
          <w:szCs w:val="24"/>
        </w:rPr>
        <w:t xml:space="preserve">eğerlendirilmesi </w:t>
      </w:r>
      <w:r w:rsidR="00241890">
        <w:rPr>
          <w:b/>
          <w:sz w:val="24"/>
          <w:szCs w:val="24"/>
        </w:rPr>
        <w:t>v</w:t>
      </w:r>
      <w:r w:rsidR="00351579" w:rsidRPr="00241890">
        <w:rPr>
          <w:b/>
          <w:sz w:val="24"/>
          <w:szCs w:val="24"/>
        </w:rPr>
        <w:t xml:space="preserve">e </w:t>
      </w:r>
      <w:r w:rsidRPr="00241890">
        <w:rPr>
          <w:b/>
          <w:sz w:val="24"/>
          <w:szCs w:val="24"/>
        </w:rPr>
        <w:t>Seçimi:</w:t>
      </w:r>
      <w:r w:rsidR="00241E52" w:rsidRPr="00241890">
        <w:rPr>
          <w:b/>
          <w:sz w:val="24"/>
          <w:szCs w:val="24"/>
        </w:rPr>
        <w:t xml:space="preserve"> </w:t>
      </w:r>
    </w:p>
    <w:p w:rsidR="006A2A60" w:rsidRDefault="00753ECC" w:rsidP="00ED78A3">
      <w:pPr>
        <w:jc w:val="both"/>
      </w:pPr>
      <w:r>
        <w:t>Değerlendirme Komitesi tarafından incelemeler sonucunda sözleşme imzalamaya hak kazanan</w:t>
      </w:r>
      <w:r w:rsidR="00457AAB">
        <w:t xml:space="preserve"> Yerel Eylem Grupları</w:t>
      </w:r>
      <w:r w:rsidR="00E751BB">
        <w:t>na ait Yerel Kalkınma S</w:t>
      </w:r>
      <w:r>
        <w:t>tratejileri listesi yukarıda yer almaktadır.</w:t>
      </w:r>
      <w:r w:rsidR="00241E52">
        <w:t xml:space="preserve"> </w:t>
      </w:r>
    </w:p>
    <w:p w:rsidR="00C15985" w:rsidRDefault="00C15985" w:rsidP="00ED78A3">
      <w:pPr>
        <w:jc w:val="both"/>
      </w:pPr>
    </w:p>
    <w:p w:rsidR="00ED78A3" w:rsidRPr="00241890" w:rsidRDefault="00457AAB" w:rsidP="00ED78A3">
      <w:pPr>
        <w:jc w:val="both"/>
        <w:rPr>
          <w:b/>
          <w:sz w:val="24"/>
          <w:szCs w:val="24"/>
        </w:rPr>
      </w:pPr>
      <w:r w:rsidRPr="00241890">
        <w:rPr>
          <w:b/>
          <w:sz w:val="24"/>
          <w:szCs w:val="24"/>
        </w:rPr>
        <w:t>2</w:t>
      </w:r>
      <w:r w:rsidR="00241890">
        <w:rPr>
          <w:b/>
          <w:sz w:val="24"/>
          <w:szCs w:val="24"/>
        </w:rPr>
        <w:t>. TKDK ile Sözleşme İ</w:t>
      </w:r>
      <w:r w:rsidRPr="00241890">
        <w:rPr>
          <w:b/>
          <w:sz w:val="24"/>
          <w:szCs w:val="24"/>
        </w:rPr>
        <w:t xml:space="preserve">mzalanması: </w:t>
      </w:r>
    </w:p>
    <w:p w:rsidR="005B536F" w:rsidRDefault="003E0300" w:rsidP="00ED78A3">
      <w:pPr>
        <w:jc w:val="both"/>
        <w:rPr>
          <w:sz w:val="24"/>
          <w:szCs w:val="24"/>
        </w:rPr>
      </w:pPr>
      <w:r w:rsidRPr="003E0300">
        <w:rPr>
          <w:sz w:val="24"/>
          <w:szCs w:val="24"/>
        </w:rPr>
        <w:t xml:space="preserve">IPARD yedinci çağrı kapsamında desteklenmesi uygun bulunan </w:t>
      </w:r>
      <w:proofErr w:type="spellStart"/>
      <w:r w:rsidRPr="003E0300">
        <w:rPr>
          <w:sz w:val="24"/>
          <w:szCs w:val="24"/>
        </w:rPr>
        <w:t>YEG’ler</w:t>
      </w:r>
      <w:proofErr w:type="spellEnd"/>
      <w:r w:rsidRPr="003E0300">
        <w:rPr>
          <w:sz w:val="24"/>
          <w:szCs w:val="24"/>
        </w:rPr>
        <w:t xml:space="preserve"> </w:t>
      </w:r>
      <w:r>
        <w:rPr>
          <w:sz w:val="24"/>
          <w:szCs w:val="24"/>
        </w:rPr>
        <w:t>bulundukları ilde yer alan TKDK il Koordinatörlüklerin</w:t>
      </w:r>
      <w:r w:rsidR="00457AAB">
        <w:rPr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 w:rsidR="00457AAB">
        <w:rPr>
          <w:sz w:val="24"/>
          <w:szCs w:val="24"/>
        </w:rPr>
        <w:t>sözleşme</w:t>
      </w:r>
      <w:r w:rsidR="00753ECC">
        <w:rPr>
          <w:sz w:val="24"/>
          <w:szCs w:val="24"/>
        </w:rPr>
        <w:t xml:space="preserve"> imzalamak üzere</w:t>
      </w:r>
      <w:r w:rsidR="00457AAB">
        <w:rPr>
          <w:sz w:val="24"/>
          <w:szCs w:val="24"/>
        </w:rPr>
        <w:t xml:space="preserve"> davet </w:t>
      </w:r>
      <w:r w:rsidR="00753ECC">
        <w:rPr>
          <w:sz w:val="24"/>
          <w:szCs w:val="24"/>
        </w:rPr>
        <w:t>edilir.</w:t>
      </w:r>
      <w:r w:rsidR="00457AAB">
        <w:rPr>
          <w:sz w:val="24"/>
          <w:szCs w:val="24"/>
        </w:rPr>
        <w:t xml:space="preserve"> Yerel Eylem Grubunu temsil ve ilzama yetkili kişi yetki belgesiyle birlikte </w:t>
      </w:r>
      <w:r w:rsidR="00753ECC">
        <w:rPr>
          <w:sz w:val="24"/>
          <w:szCs w:val="24"/>
        </w:rPr>
        <w:t>belirlenen süre</w:t>
      </w:r>
      <w:r w:rsidR="00241E52">
        <w:rPr>
          <w:sz w:val="24"/>
          <w:szCs w:val="24"/>
        </w:rPr>
        <w:t xml:space="preserve"> içinde</w:t>
      </w:r>
      <w:r w:rsidR="005B536F">
        <w:rPr>
          <w:sz w:val="24"/>
          <w:szCs w:val="24"/>
        </w:rPr>
        <w:t xml:space="preserve"> ilgili İl Koordinatörlüğüne başvurmak zorundadır.</w:t>
      </w:r>
    </w:p>
    <w:p w:rsidR="00983283" w:rsidRDefault="00983283" w:rsidP="00ED78A3">
      <w:pPr>
        <w:ind w:hanging="11"/>
        <w:jc w:val="both"/>
        <w:rPr>
          <w:b/>
          <w:sz w:val="24"/>
          <w:szCs w:val="24"/>
        </w:rPr>
      </w:pPr>
    </w:p>
    <w:p w:rsidR="00983283" w:rsidRDefault="00983283" w:rsidP="00ED78A3">
      <w:pPr>
        <w:ind w:hanging="11"/>
        <w:jc w:val="both"/>
        <w:rPr>
          <w:b/>
          <w:sz w:val="24"/>
          <w:szCs w:val="24"/>
        </w:rPr>
      </w:pPr>
    </w:p>
    <w:p w:rsidR="00983283" w:rsidRDefault="00983283" w:rsidP="00ED78A3">
      <w:pPr>
        <w:ind w:hanging="11"/>
        <w:jc w:val="both"/>
        <w:rPr>
          <w:b/>
          <w:sz w:val="24"/>
          <w:szCs w:val="24"/>
        </w:rPr>
      </w:pPr>
    </w:p>
    <w:p w:rsidR="006A2A60" w:rsidRPr="00FC7E6C" w:rsidRDefault="00351579" w:rsidP="00ED78A3">
      <w:pPr>
        <w:ind w:hanging="11"/>
        <w:jc w:val="both"/>
        <w:rPr>
          <w:b/>
          <w:sz w:val="24"/>
          <w:szCs w:val="24"/>
        </w:rPr>
      </w:pPr>
      <w:bookmarkStart w:id="0" w:name="_GoBack"/>
      <w:bookmarkEnd w:id="0"/>
      <w:r w:rsidRPr="00FC7E6C">
        <w:rPr>
          <w:b/>
          <w:sz w:val="24"/>
          <w:szCs w:val="24"/>
        </w:rPr>
        <w:lastRenderedPageBreak/>
        <w:t xml:space="preserve">3. Yıllık Uygulama Planının </w:t>
      </w:r>
      <w:r w:rsidR="00FF3F50">
        <w:rPr>
          <w:b/>
          <w:sz w:val="24"/>
          <w:szCs w:val="24"/>
        </w:rPr>
        <w:t>H</w:t>
      </w:r>
      <w:r w:rsidRPr="00FC7E6C">
        <w:rPr>
          <w:b/>
          <w:sz w:val="24"/>
          <w:szCs w:val="24"/>
        </w:rPr>
        <w:t>azırlanması</w:t>
      </w:r>
      <w:r w:rsidR="00BC1BBC">
        <w:rPr>
          <w:b/>
          <w:sz w:val="24"/>
          <w:szCs w:val="24"/>
        </w:rPr>
        <w:t>:</w:t>
      </w:r>
    </w:p>
    <w:p w:rsidR="00753ECC" w:rsidRDefault="00C26F1E" w:rsidP="00ED78A3">
      <w:pPr>
        <w:jc w:val="both"/>
        <w:rPr>
          <w:sz w:val="24"/>
          <w:szCs w:val="24"/>
        </w:rPr>
      </w:pPr>
      <w:r w:rsidRPr="00C26F1E"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00AB60AD" wp14:editId="49A87DA0">
                <wp:simplePos x="0" y="0"/>
                <wp:positionH relativeFrom="page">
                  <wp:posOffset>828675</wp:posOffset>
                </wp:positionH>
                <wp:positionV relativeFrom="paragraph">
                  <wp:posOffset>2328545</wp:posOffset>
                </wp:positionV>
                <wp:extent cx="6000750" cy="1403985"/>
                <wp:effectExtent l="0" t="0" r="0" b="0"/>
                <wp:wrapTopAndBottom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F1E" w:rsidRPr="00FC7E6C" w:rsidRDefault="00C26F1E" w:rsidP="00FC7E6C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jc w:val="both"/>
                              <w:rPr>
                                <w:b/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 w:rsidRPr="00FC7E6C">
                              <w:rPr>
                                <w:b/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 xml:space="preserve">Yıllık Uygulama Planının TKDK il Koordinatörlüğüne </w:t>
                            </w:r>
                            <w:r w:rsidR="00364116">
                              <w:rPr>
                                <w:b/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>sunulmadan ve onay alınmadan</w:t>
                            </w:r>
                            <w:r w:rsidR="00241E52">
                              <w:rPr>
                                <w:b/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 xml:space="preserve"> </w:t>
                            </w:r>
                            <w:r w:rsidRPr="00FC7E6C">
                              <w:rPr>
                                <w:b/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 xml:space="preserve">yapılacak faaliyet ve küçük projeler uygun harcama olarak kabul edilmeyecektir. Bu nedenle </w:t>
                            </w:r>
                            <w:proofErr w:type="spellStart"/>
                            <w:r w:rsidRPr="00FC7E6C">
                              <w:rPr>
                                <w:b/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>YEG’lerin</w:t>
                            </w:r>
                            <w:proofErr w:type="spellEnd"/>
                            <w:r w:rsidRPr="00FC7E6C">
                              <w:rPr>
                                <w:b/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 xml:space="preserve"> mağduriyet yaşamamaları için </w:t>
                            </w:r>
                            <w:proofErr w:type="spellStart"/>
                            <w:r w:rsidRPr="00FC7E6C">
                              <w:rPr>
                                <w:b/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>YKS’lerini</w:t>
                            </w:r>
                            <w:proofErr w:type="spellEnd"/>
                            <w:r w:rsidRPr="00FC7E6C">
                              <w:rPr>
                                <w:b/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 xml:space="preserve"> uygulamaya yıllık uygulama planının </w:t>
                            </w:r>
                            <w:r w:rsidR="00364116">
                              <w:rPr>
                                <w:b/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>TKDK onayından sonra</w:t>
                            </w:r>
                            <w:r w:rsidRPr="00FC7E6C">
                              <w:rPr>
                                <w:b/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 xml:space="preserve"> başlamaları gerekmektedir.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0AB60A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65.25pt;margin-top:183.35pt;width:472.5pt;height:110.5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" filled="f" stroked="f">
                <v:textbox style="mso-fit-shape-to-text:t">
                  <w:txbxContent>
                    <w:p w:rsidR="00C26F1E" w:rsidRPr="00FC7E6C" w:rsidRDefault="00C26F1E" w:rsidP="00FC7E6C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jc w:val="both"/>
                        <w:rPr>
                          <w:b/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 w:rsidRPr="00FC7E6C">
                        <w:rPr>
                          <w:b/>
                          <w:i/>
                          <w:iCs/>
                          <w:color w:val="4F81BD" w:themeColor="accent1"/>
                          <w:sz w:val="24"/>
                        </w:rPr>
                        <w:t xml:space="preserve">Yıllık Uygulama Planının TKDK il Koordinatörlüğüne </w:t>
                      </w:r>
                      <w:r w:rsidR="00364116">
                        <w:rPr>
                          <w:b/>
                          <w:i/>
                          <w:iCs/>
                          <w:color w:val="4F81BD" w:themeColor="accent1"/>
                          <w:sz w:val="24"/>
                        </w:rPr>
                        <w:t>sunulmadan ve onay alınmadan</w:t>
                      </w:r>
                      <w:r w:rsidR="00241E52">
                        <w:rPr>
                          <w:b/>
                          <w:i/>
                          <w:iCs/>
                          <w:color w:val="4F81BD" w:themeColor="accent1"/>
                          <w:sz w:val="24"/>
                        </w:rPr>
                        <w:t xml:space="preserve"> </w:t>
                      </w:r>
                      <w:r w:rsidRPr="00FC7E6C">
                        <w:rPr>
                          <w:b/>
                          <w:i/>
                          <w:iCs/>
                          <w:color w:val="4F81BD" w:themeColor="accent1"/>
                          <w:sz w:val="24"/>
                        </w:rPr>
                        <w:t xml:space="preserve">yapılacak faaliyet ve küçük projeler uygun harcama olarak kabul edilmeyecektir. Bu nedenle </w:t>
                      </w:r>
                      <w:proofErr w:type="spellStart"/>
                      <w:r w:rsidRPr="00FC7E6C">
                        <w:rPr>
                          <w:b/>
                          <w:i/>
                          <w:iCs/>
                          <w:color w:val="4F81BD" w:themeColor="accent1"/>
                          <w:sz w:val="24"/>
                        </w:rPr>
                        <w:t>YEG’lerin</w:t>
                      </w:r>
                      <w:proofErr w:type="spellEnd"/>
                      <w:r w:rsidRPr="00FC7E6C">
                        <w:rPr>
                          <w:b/>
                          <w:i/>
                          <w:iCs/>
                          <w:color w:val="4F81BD" w:themeColor="accent1"/>
                          <w:sz w:val="24"/>
                        </w:rPr>
                        <w:t xml:space="preserve"> mağduriyet yaşamamaları için </w:t>
                      </w:r>
                      <w:proofErr w:type="spellStart"/>
                      <w:r w:rsidRPr="00FC7E6C">
                        <w:rPr>
                          <w:b/>
                          <w:i/>
                          <w:iCs/>
                          <w:color w:val="4F81BD" w:themeColor="accent1"/>
                          <w:sz w:val="24"/>
                        </w:rPr>
                        <w:t>YKS’lerini</w:t>
                      </w:r>
                      <w:proofErr w:type="spellEnd"/>
                      <w:r w:rsidRPr="00FC7E6C">
                        <w:rPr>
                          <w:b/>
                          <w:i/>
                          <w:iCs/>
                          <w:color w:val="4F81BD" w:themeColor="accent1"/>
                          <w:sz w:val="24"/>
                        </w:rPr>
                        <w:t xml:space="preserve"> uygulamaya yıllık uygulama planının </w:t>
                      </w:r>
                      <w:r w:rsidR="00364116">
                        <w:rPr>
                          <w:b/>
                          <w:i/>
                          <w:iCs/>
                          <w:color w:val="4F81BD" w:themeColor="accent1"/>
                          <w:sz w:val="24"/>
                        </w:rPr>
                        <w:t>TKDK onayından sonra</w:t>
                      </w:r>
                      <w:r w:rsidRPr="00FC7E6C">
                        <w:rPr>
                          <w:b/>
                          <w:i/>
                          <w:iCs/>
                          <w:color w:val="4F81BD" w:themeColor="accent1"/>
                          <w:sz w:val="24"/>
                        </w:rPr>
                        <w:t xml:space="preserve"> başlamaları gerekmektedir.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E0300">
        <w:rPr>
          <w:sz w:val="24"/>
          <w:szCs w:val="24"/>
        </w:rPr>
        <w:t xml:space="preserve">Sözleşme </w:t>
      </w:r>
      <w:r w:rsidR="005B536F">
        <w:rPr>
          <w:sz w:val="24"/>
          <w:szCs w:val="24"/>
        </w:rPr>
        <w:t>imzala</w:t>
      </w:r>
      <w:r w:rsidR="00241E52">
        <w:rPr>
          <w:sz w:val="24"/>
          <w:szCs w:val="24"/>
        </w:rPr>
        <w:t>ma</w:t>
      </w:r>
      <w:r w:rsidR="00753ECC">
        <w:rPr>
          <w:sz w:val="24"/>
          <w:szCs w:val="24"/>
        </w:rPr>
        <w:t xml:space="preserve"> tarihi esas alınarak</w:t>
      </w:r>
      <w:r w:rsidR="005B536F">
        <w:rPr>
          <w:sz w:val="24"/>
          <w:szCs w:val="24"/>
        </w:rPr>
        <w:t xml:space="preserve"> sonraki 30 gün içinde </w:t>
      </w:r>
      <w:proofErr w:type="spellStart"/>
      <w:r w:rsidR="003E0300">
        <w:rPr>
          <w:sz w:val="24"/>
          <w:szCs w:val="24"/>
        </w:rPr>
        <w:t>YEG</w:t>
      </w:r>
      <w:r w:rsidR="005B536F">
        <w:rPr>
          <w:sz w:val="24"/>
          <w:szCs w:val="24"/>
        </w:rPr>
        <w:t>’ler</w:t>
      </w:r>
      <w:proofErr w:type="spellEnd"/>
      <w:r w:rsidR="003E0300">
        <w:rPr>
          <w:sz w:val="24"/>
          <w:szCs w:val="24"/>
        </w:rPr>
        <w:t xml:space="preserve"> kendi stratejilerinin eki olan </w:t>
      </w:r>
      <w:r w:rsidR="003E0300" w:rsidRPr="003E0300">
        <w:rPr>
          <w:b/>
          <w:sz w:val="24"/>
          <w:szCs w:val="24"/>
        </w:rPr>
        <w:t>Eylem Planına</w:t>
      </w:r>
      <w:r w:rsidR="003E0300">
        <w:rPr>
          <w:sz w:val="24"/>
          <w:szCs w:val="24"/>
        </w:rPr>
        <w:t xml:space="preserve"> uygun olarak </w:t>
      </w:r>
      <w:r w:rsidR="003E0300" w:rsidRPr="003E0300">
        <w:rPr>
          <w:b/>
          <w:sz w:val="24"/>
          <w:szCs w:val="24"/>
        </w:rPr>
        <w:t>Yıllık Uygulama Planı</w:t>
      </w:r>
      <w:r w:rsidR="003E0300">
        <w:rPr>
          <w:sz w:val="24"/>
          <w:szCs w:val="24"/>
        </w:rPr>
        <w:t xml:space="preserve"> </w:t>
      </w:r>
      <w:r w:rsidR="003E0300" w:rsidRPr="003E0300">
        <w:rPr>
          <w:sz w:val="24"/>
          <w:szCs w:val="24"/>
        </w:rPr>
        <w:t>hazırlamakla</w:t>
      </w:r>
      <w:r w:rsidR="003E0300">
        <w:rPr>
          <w:sz w:val="24"/>
          <w:szCs w:val="24"/>
        </w:rPr>
        <w:t xml:space="preserve"> </w:t>
      </w:r>
      <w:r w:rsidR="00364116">
        <w:rPr>
          <w:sz w:val="24"/>
          <w:szCs w:val="24"/>
        </w:rPr>
        <w:t xml:space="preserve">ve </w:t>
      </w:r>
      <w:r w:rsidR="001F602F" w:rsidRPr="00903D51">
        <w:rPr>
          <w:sz w:val="24"/>
          <w:szCs w:val="24"/>
        </w:rPr>
        <w:t>Yönetim Otoritesi</w:t>
      </w:r>
      <w:r w:rsidR="001F602F">
        <w:rPr>
          <w:sz w:val="24"/>
          <w:szCs w:val="24"/>
        </w:rPr>
        <w:t xml:space="preserve"> ve </w:t>
      </w:r>
      <w:proofErr w:type="spellStart"/>
      <w:r w:rsidR="00364116">
        <w:rPr>
          <w:sz w:val="24"/>
          <w:szCs w:val="24"/>
        </w:rPr>
        <w:t>TKDK</w:t>
      </w:r>
      <w:r w:rsidR="00241E52">
        <w:rPr>
          <w:sz w:val="24"/>
          <w:szCs w:val="24"/>
        </w:rPr>
        <w:t>’</w:t>
      </w:r>
      <w:r w:rsidR="00364116">
        <w:rPr>
          <w:sz w:val="24"/>
          <w:szCs w:val="24"/>
        </w:rPr>
        <w:t>ya</w:t>
      </w:r>
      <w:proofErr w:type="spellEnd"/>
      <w:r w:rsidR="00364116">
        <w:rPr>
          <w:sz w:val="24"/>
          <w:szCs w:val="24"/>
        </w:rPr>
        <w:t xml:space="preserve"> sunmakla </w:t>
      </w:r>
      <w:r w:rsidR="003E0300">
        <w:rPr>
          <w:sz w:val="24"/>
          <w:szCs w:val="24"/>
        </w:rPr>
        <w:t>yükümlüdür.</w:t>
      </w:r>
      <w:r w:rsidR="00241E52">
        <w:rPr>
          <w:sz w:val="24"/>
          <w:szCs w:val="24"/>
        </w:rPr>
        <w:t xml:space="preserve"> </w:t>
      </w:r>
      <w:r w:rsidR="00364116">
        <w:rPr>
          <w:sz w:val="24"/>
          <w:szCs w:val="24"/>
        </w:rPr>
        <w:t>TKDK tarafından doğrulanan</w:t>
      </w:r>
      <w:r w:rsidR="003E0300">
        <w:rPr>
          <w:sz w:val="24"/>
          <w:szCs w:val="24"/>
        </w:rPr>
        <w:t xml:space="preserve"> </w:t>
      </w:r>
      <w:r w:rsidR="00364116">
        <w:rPr>
          <w:sz w:val="24"/>
          <w:szCs w:val="24"/>
        </w:rPr>
        <w:t xml:space="preserve">“Yıllık </w:t>
      </w:r>
      <w:r w:rsidR="00241E52">
        <w:rPr>
          <w:sz w:val="24"/>
          <w:szCs w:val="24"/>
        </w:rPr>
        <w:t>U</w:t>
      </w:r>
      <w:r w:rsidR="00364116">
        <w:rPr>
          <w:sz w:val="24"/>
          <w:szCs w:val="24"/>
        </w:rPr>
        <w:t>ygulama</w:t>
      </w:r>
      <w:r w:rsidR="00241E52">
        <w:rPr>
          <w:sz w:val="24"/>
          <w:szCs w:val="24"/>
        </w:rPr>
        <w:t xml:space="preserve"> P</w:t>
      </w:r>
      <w:r w:rsidR="00364116">
        <w:rPr>
          <w:sz w:val="24"/>
          <w:szCs w:val="24"/>
        </w:rPr>
        <w:t>lanı” uygulanabilecektir.</w:t>
      </w:r>
    </w:p>
    <w:p w:rsidR="005642B9" w:rsidRDefault="003E0300" w:rsidP="00ED78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Yıllık Uygulama Planının hazırlanmasına </w:t>
      </w:r>
      <w:r w:rsidR="00457AAB">
        <w:rPr>
          <w:sz w:val="24"/>
          <w:szCs w:val="24"/>
        </w:rPr>
        <w:t>yönelik eğitim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web’den</w:t>
      </w:r>
      <w:proofErr w:type="spellEnd"/>
      <w:r>
        <w:rPr>
          <w:sz w:val="24"/>
          <w:szCs w:val="24"/>
        </w:rPr>
        <w:t xml:space="preserve"> gerçekleştirilecek ve duyurusu ayrıca yapılacaktı</w:t>
      </w:r>
      <w:r w:rsidR="005642B9">
        <w:rPr>
          <w:sz w:val="24"/>
          <w:szCs w:val="24"/>
        </w:rPr>
        <w:t>r.</w:t>
      </w:r>
    </w:p>
    <w:p w:rsidR="00ED78A3" w:rsidRDefault="00BC1BBC" w:rsidP="009F505E">
      <w:pPr>
        <w:jc w:val="both"/>
        <w:rPr>
          <w:b/>
          <w:sz w:val="24"/>
          <w:szCs w:val="24"/>
        </w:rPr>
      </w:pPr>
      <w:r w:rsidRPr="00FC7E6C">
        <w:rPr>
          <w:b/>
          <w:sz w:val="24"/>
          <w:szCs w:val="24"/>
        </w:rPr>
        <w:tab/>
      </w:r>
    </w:p>
    <w:p w:rsidR="00763697" w:rsidRPr="00FC7E6C" w:rsidRDefault="00FF3F50" w:rsidP="009F505E">
      <w:pPr>
        <w:jc w:val="both"/>
        <w:rPr>
          <w:b/>
          <w:sz w:val="24"/>
          <w:szCs w:val="24"/>
        </w:rPr>
      </w:pPr>
      <w:r w:rsidRPr="00FC7E6C">
        <w:rPr>
          <w:b/>
          <w:sz w:val="24"/>
          <w:szCs w:val="24"/>
        </w:rPr>
        <w:t xml:space="preserve">4. </w:t>
      </w:r>
      <w:r w:rsidR="00BC1BBC" w:rsidRPr="00FC7E6C">
        <w:rPr>
          <w:b/>
          <w:sz w:val="24"/>
          <w:szCs w:val="24"/>
        </w:rPr>
        <w:t xml:space="preserve"> </w:t>
      </w:r>
      <w:r w:rsidRPr="00FC7E6C">
        <w:rPr>
          <w:b/>
          <w:sz w:val="24"/>
          <w:szCs w:val="24"/>
        </w:rPr>
        <w:t>Yerel Kalkınma Stratejilerinin Uygulanması</w:t>
      </w:r>
    </w:p>
    <w:p w:rsidR="00D56C8D" w:rsidRPr="00990FED" w:rsidRDefault="00FF3F50" w:rsidP="00ED78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Yıllık Uygulama Planlarının onaylanmasından sonra </w:t>
      </w:r>
      <w:proofErr w:type="spellStart"/>
      <w:r>
        <w:rPr>
          <w:sz w:val="24"/>
          <w:szCs w:val="24"/>
        </w:rPr>
        <w:t>YEG’ler</w:t>
      </w:r>
      <w:proofErr w:type="spellEnd"/>
      <w:r>
        <w:rPr>
          <w:sz w:val="24"/>
          <w:szCs w:val="24"/>
        </w:rPr>
        <w:t xml:space="preserve"> stratejilerini uygulamaya başlayabileceklerdir. Strateji uygulaması sırasında </w:t>
      </w:r>
      <w:proofErr w:type="spellStart"/>
      <w:r>
        <w:rPr>
          <w:sz w:val="24"/>
          <w:szCs w:val="24"/>
        </w:rPr>
        <w:t>YEG’ler</w:t>
      </w:r>
      <w:proofErr w:type="spellEnd"/>
      <w:r>
        <w:rPr>
          <w:sz w:val="24"/>
          <w:szCs w:val="24"/>
        </w:rPr>
        <w:t xml:space="preserve"> aşağıdaki hususlara dikkat etmek zorundadır:</w:t>
      </w:r>
    </w:p>
    <w:p w:rsidR="00C26F1E" w:rsidRDefault="00FF3F50" w:rsidP="00FC7E6C">
      <w:pPr>
        <w:pStyle w:val="ListeParagraf"/>
        <w:numPr>
          <w:ilvl w:val="0"/>
          <w:numId w:val="3"/>
        </w:numPr>
        <w:jc w:val="both"/>
      </w:pPr>
      <w:r>
        <w:rPr>
          <w:rFonts w:asciiTheme="minorHAnsi" w:eastAsiaTheme="minorHAnsi" w:hAnsiTheme="minorHAnsi" w:cstheme="minorBidi"/>
          <w:lang w:eastAsia="en-US"/>
        </w:rPr>
        <w:t xml:space="preserve">Yapılacak faaliyetler ve uygulanacak küçük projeler kesinlikle ilgili yılın onaylanmış </w:t>
      </w:r>
      <w:r w:rsidRPr="00FC7E6C">
        <w:rPr>
          <w:rFonts w:asciiTheme="minorHAnsi" w:eastAsiaTheme="minorHAnsi" w:hAnsiTheme="minorHAnsi" w:cstheme="minorBidi"/>
          <w:lang w:eastAsia="en-US"/>
        </w:rPr>
        <w:t>Yıllık Uygulama Planında yer alma</w:t>
      </w:r>
      <w:r>
        <w:rPr>
          <w:rFonts w:asciiTheme="minorHAnsi" w:eastAsiaTheme="minorHAnsi" w:hAnsiTheme="minorHAnsi" w:cstheme="minorBidi"/>
          <w:lang w:eastAsia="en-US"/>
        </w:rPr>
        <w:t xml:space="preserve">lıdır. </w:t>
      </w:r>
    </w:p>
    <w:p w:rsidR="00C26F1E" w:rsidRDefault="00ED78A3" w:rsidP="00ED78A3">
      <w:pPr>
        <w:jc w:val="both"/>
      </w:pPr>
      <w:r w:rsidRPr="00C26F1E">
        <w:rPr>
          <w:noProof/>
          <w:lang w:val="en-GB" w:eastAsia="en-GB"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63F59BF1" wp14:editId="606C5227">
                <wp:simplePos x="0" y="0"/>
                <wp:positionH relativeFrom="margin">
                  <wp:align>left</wp:align>
                </wp:positionH>
                <wp:positionV relativeFrom="paragraph">
                  <wp:posOffset>292100</wp:posOffset>
                </wp:positionV>
                <wp:extent cx="6010275" cy="1012190"/>
                <wp:effectExtent l="0" t="0" r="0" b="0"/>
                <wp:wrapTopAndBottom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012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F1E" w:rsidRPr="00FC7E6C" w:rsidRDefault="00C26F1E" w:rsidP="00FC7E6C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jc w:val="both"/>
                              <w:rPr>
                                <w:b/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 w:rsidRPr="00FC7E6C">
                              <w:rPr>
                                <w:b/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Yıllık Uygulama Planında yer almayan faaliyet ve projeler kapsamındaki harcamalar uygun harcama olarak </w:t>
                            </w:r>
                            <w:r w:rsidRPr="00124284">
                              <w:rPr>
                                <w:b/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  <w:u w:val="single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kabul edilmeyecek</w:t>
                            </w:r>
                            <w:r w:rsidRPr="00124284">
                              <w:rPr>
                                <w:b/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FC7E6C">
                              <w:rPr>
                                <w:b/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ve bu harcamalar için ödeme </w:t>
                            </w:r>
                            <w:r w:rsidRPr="00124284">
                              <w:rPr>
                                <w:b/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  <w:u w:val="single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talep edilemeyecektir.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731E9EE" id="_x0000_s1027" type="#_x0000_t202" style="position:absolute;left:0;text-align:left;margin-left:0;margin-top:23pt;width:473.25pt;height:79.7pt;z-index:251661312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" filled="f" stroked="f">
                <v:textbox>
                  <w:txbxContent>
                    <w:p w:rsidR="00C26F1E" w:rsidRPr="00FC7E6C" w:rsidRDefault="00C26F1E" w:rsidP="00FC7E6C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jc w:val="both"/>
                        <w:rPr>
                          <w:b/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 w:rsidRPr="00FC7E6C">
                        <w:rPr>
                          <w:b/>
                          <w:i/>
                          <w:iCs/>
                          <w:color w:val="4F81BD" w:themeColor="accent1"/>
                          <w:sz w:val="24"/>
                          <w:szCs w:val="24"/>
                        </w:rPr>
                        <w:t xml:space="preserve">Yıllık Uygulama Planında yer almayan faaliyet ve projeler kapsamındaki harcamalar uygun harcama olarak </w:t>
                      </w:r>
                      <w:r w:rsidRPr="00124284">
                        <w:rPr>
                          <w:b/>
                          <w:i/>
                          <w:iCs/>
                          <w:color w:val="4F81BD" w:themeColor="accent1"/>
                          <w:sz w:val="24"/>
                          <w:szCs w:val="24"/>
                          <w:u w:val="single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kabul edilmeyecek</w:t>
                      </w:r>
                      <w:r w:rsidRPr="00124284">
                        <w:rPr>
                          <w:b/>
                          <w:i/>
                          <w:iCs/>
                          <w:color w:val="4F81BD" w:themeColor="accent1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 </w:t>
                      </w:r>
                      <w:r w:rsidRPr="00FC7E6C">
                        <w:rPr>
                          <w:b/>
                          <w:i/>
                          <w:iCs/>
                          <w:color w:val="4F81BD" w:themeColor="accent1"/>
                          <w:sz w:val="24"/>
                          <w:szCs w:val="24"/>
                        </w:rPr>
                        <w:t xml:space="preserve">ve bu harcamalar için ödeme </w:t>
                      </w:r>
                      <w:r w:rsidRPr="00124284">
                        <w:rPr>
                          <w:b/>
                          <w:i/>
                          <w:iCs/>
                          <w:color w:val="4F81BD" w:themeColor="accent1"/>
                          <w:sz w:val="24"/>
                          <w:szCs w:val="24"/>
                          <w:u w:val="single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talep edilemeyecektir.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C26F1E" w:rsidRPr="00FC7E6C" w:rsidRDefault="00C26F1E" w:rsidP="00FC7E6C">
      <w:pPr>
        <w:pStyle w:val="ListeParagraf"/>
        <w:jc w:val="both"/>
      </w:pPr>
    </w:p>
    <w:p w:rsidR="00C26F1E" w:rsidRPr="00FC7E6C" w:rsidRDefault="00C15985" w:rsidP="00FC7E6C">
      <w:pPr>
        <w:pStyle w:val="ListeParagraf"/>
        <w:numPr>
          <w:ilvl w:val="0"/>
          <w:numId w:val="3"/>
        </w:numPr>
        <w:jc w:val="both"/>
      </w:pPr>
      <w:r w:rsidRPr="00C26F1E">
        <w:rPr>
          <w:rFonts w:asciiTheme="minorHAnsi" w:eastAsiaTheme="minorHAnsi" w:hAnsiTheme="minorHAnsi" w:cstheme="minorBidi"/>
          <w:noProof/>
          <w:lang w:val="en-GB" w:eastAsia="en-GB"/>
        </w:rPr>
        <mc:AlternateContent>
          <mc:Choice Requires="wps">
            <w:drawing>
              <wp:anchor distT="91440" distB="91440" distL="114300" distR="114300" simplePos="0" relativeHeight="251658752" behindDoc="0" locked="0" layoutInCell="1" allowOverlap="1" wp14:anchorId="2A35B6B6" wp14:editId="69AF36C3">
                <wp:simplePos x="0" y="0"/>
                <wp:positionH relativeFrom="margin">
                  <wp:posOffset>-4445</wp:posOffset>
                </wp:positionH>
                <wp:positionV relativeFrom="paragraph">
                  <wp:posOffset>1725295</wp:posOffset>
                </wp:positionV>
                <wp:extent cx="5981700" cy="788670"/>
                <wp:effectExtent l="0" t="0" r="0" b="0"/>
                <wp:wrapTopAndBottom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788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116" w:rsidRPr="00FC7E6C" w:rsidRDefault="0042701E" w:rsidP="00364116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jc w:val="both"/>
                              <w:rPr>
                                <w:b/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 w:rsidRPr="00124284">
                              <w:rPr>
                                <w:b/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>eferans birim fiyatı aşan harcamalar uygun olmayan harcama olarak değerlendirilecek ve LEADER bütçesi kapsamında desteklenmeyecektir.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53F8C1E" id="_x0000_s1028" type="#_x0000_t202" style="position:absolute;left:0;text-align:left;margin-left:-.35pt;margin-top:135.85pt;width:471pt;height:62.1pt;z-index:25165875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" filled="f" stroked="f">
                <v:textbox>
                  <w:txbxContent>
                    <w:p w:rsidR="00364116" w:rsidRPr="00FC7E6C" w:rsidRDefault="0042701E" w:rsidP="00364116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jc w:val="both"/>
                        <w:rPr>
                          <w:b/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 w:rsidRPr="00124284">
                        <w:rPr>
                          <w:b/>
                          <w:i/>
                          <w:iCs/>
                          <w:color w:val="4F81BD" w:themeColor="accent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b/>
                          <w:i/>
                          <w:iCs/>
                          <w:color w:val="4F81BD" w:themeColor="accent1"/>
                          <w:sz w:val="24"/>
                        </w:rPr>
                        <w:t>eferans birim fiyatı aşan harcamalar uygun olmayan harcama olarak değerlendirilecek ve LEADER bütçesi kapsamında desteklenmeyecektir.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spellStart"/>
      <w:r w:rsidR="00FF3F50" w:rsidRPr="00FC7E6C">
        <w:rPr>
          <w:rFonts w:asciiTheme="minorHAnsi" w:eastAsiaTheme="minorHAnsi" w:hAnsiTheme="minorHAnsi" w:cstheme="minorBidi"/>
          <w:lang w:eastAsia="en-US"/>
        </w:rPr>
        <w:t>YEG’ler</w:t>
      </w:r>
      <w:proofErr w:type="spellEnd"/>
      <w:r w:rsidR="00FF3F50" w:rsidRPr="00FC7E6C">
        <w:rPr>
          <w:rFonts w:asciiTheme="minorHAnsi" w:eastAsiaTheme="minorHAnsi" w:hAnsiTheme="minorHAnsi" w:cstheme="minorBidi"/>
          <w:lang w:eastAsia="en-US"/>
        </w:rPr>
        <w:t xml:space="preserve"> strateji uygulaması sırasında onaylanmış Finansal Planlarında ilgili yıl için belirlenen yıllık bütçeyi dikkate almalıdır</w:t>
      </w:r>
      <w:r w:rsidR="00FF3F50">
        <w:rPr>
          <w:rFonts w:asciiTheme="minorHAnsi" w:eastAsiaTheme="minorHAnsi" w:hAnsiTheme="minorHAnsi" w:cstheme="minorBidi"/>
          <w:b/>
          <w:lang w:eastAsia="en-US"/>
        </w:rPr>
        <w:t xml:space="preserve">. </w:t>
      </w:r>
    </w:p>
    <w:p w:rsidR="00C26F1E" w:rsidRPr="00FC7E6C" w:rsidRDefault="00ED78A3" w:rsidP="00C15985">
      <w:pPr>
        <w:jc w:val="both"/>
      </w:pPr>
      <w:r w:rsidRPr="00C26F1E">
        <w:rPr>
          <w:noProof/>
          <w:lang w:val="en-GB" w:eastAsia="en-GB"/>
        </w:rPr>
        <w:lastRenderedPageBreak/>
        <mc:AlternateContent>
          <mc:Choice Requires="wps">
            <w:drawing>
              <wp:anchor distT="91440" distB="91440" distL="114300" distR="114300" simplePos="0" relativeHeight="251657728" behindDoc="0" locked="0" layoutInCell="1" allowOverlap="1" wp14:anchorId="01D4BE18" wp14:editId="598D5DBB">
                <wp:simplePos x="0" y="0"/>
                <wp:positionH relativeFrom="margin">
                  <wp:align>left</wp:align>
                </wp:positionH>
                <wp:positionV relativeFrom="paragraph">
                  <wp:posOffset>268605</wp:posOffset>
                </wp:positionV>
                <wp:extent cx="5981700" cy="807720"/>
                <wp:effectExtent l="0" t="0" r="0" b="0"/>
                <wp:wrapTopAndBottom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F1E" w:rsidRPr="00FC7E6C" w:rsidRDefault="00C26F1E" w:rsidP="00FC7E6C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jc w:val="both"/>
                              <w:rPr>
                                <w:b/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 w:rsidRPr="00FC7E6C">
                              <w:rPr>
                                <w:b/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>İlgili yıl bütç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>esini aşan harcamalar uygun ol</w:t>
                            </w:r>
                            <w:r w:rsidRPr="00FC7E6C">
                              <w:rPr>
                                <w:b/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mayan harcama olarak değerlendirilecek ve LEADER bütçesi kapsamında </w:t>
                            </w:r>
                            <w:r w:rsidRPr="00124284">
                              <w:rPr>
                                <w:b/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  <w:u w:val="single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desteklenemeyecektir.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99E7170" id="_x0000_s1029" type="#_x0000_t202" style="position:absolute;left:0;text-align:left;margin-left:0;margin-top:21.15pt;width:471pt;height:63.6pt;z-index:251657728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" filled="f" stroked="f">
                <v:textbox>
                  <w:txbxContent>
                    <w:p w:rsidR="00C26F1E" w:rsidRPr="00FC7E6C" w:rsidRDefault="00C26F1E" w:rsidP="00FC7E6C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jc w:val="both"/>
                        <w:rPr>
                          <w:b/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 w:rsidRPr="00FC7E6C">
                        <w:rPr>
                          <w:b/>
                          <w:i/>
                          <w:iCs/>
                          <w:color w:val="4F81BD" w:themeColor="accent1"/>
                          <w:sz w:val="24"/>
                          <w:szCs w:val="24"/>
                        </w:rPr>
                        <w:t>İlgili yıl bütç</w:t>
                      </w:r>
                      <w:r>
                        <w:rPr>
                          <w:b/>
                          <w:i/>
                          <w:iCs/>
                          <w:color w:val="4F81BD" w:themeColor="accent1"/>
                          <w:sz w:val="24"/>
                          <w:szCs w:val="24"/>
                        </w:rPr>
                        <w:t>esini aşan harcamalar uygun ol</w:t>
                      </w:r>
                      <w:r w:rsidRPr="00FC7E6C">
                        <w:rPr>
                          <w:b/>
                          <w:i/>
                          <w:iCs/>
                          <w:color w:val="4F81BD" w:themeColor="accent1"/>
                          <w:sz w:val="24"/>
                          <w:szCs w:val="24"/>
                        </w:rPr>
                        <w:t xml:space="preserve">mayan harcama olarak değerlendirilecek ve LEADER bütçesi kapsamında </w:t>
                      </w:r>
                      <w:r w:rsidRPr="00124284">
                        <w:rPr>
                          <w:b/>
                          <w:i/>
                          <w:iCs/>
                          <w:color w:val="4F81BD" w:themeColor="accent1"/>
                          <w:sz w:val="24"/>
                          <w:szCs w:val="24"/>
                          <w:u w:val="single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desteklenemeyecektir.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364116" w:rsidRPr="002E0EE6" w:rsidRDefault="00FF3F50" w:rsidP="00124284">
      <w:pPr>
        <w:pStyle w:val="ListeParagraf"/>
        <w:numPr>
          <w:ilvl w:val="0"/>
          <w:numId w:val="3"/>
        </w:numPr>
        <w:ind w:left="0"/>
        <w:jc w:val="both"/>
      </w:pPr>
      <w:r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proofErr w:type="spellStart"/>
      <w:r w:rsidRPr="00FC7E6C">
        <w:rPr>
          <w:rFonts w:asciiTheme="minorHAnsi" w:eastAsiaTheme="minorHAnsi" w:hAnsiTheme="minorHAnsi" w:cstheme="minorBidi"/>
          <w:lang w:eastAsia="en-US"/>
        </w:rPr>
        <w:t>YEG’ler</w:t>
      </w:r>
      <w:proofErr w:type="spellEnd"/>
      <w:r w:rsidRPr="00FC7E6C">
        <w:rPr>
          <w:rFonts w:asciiTheme="minorHAnsi" w:eastAsiaTheme="minorHAnsi" w:hAnsiTheme="minorHAnsi" w:cstheme="minorBidi"/>
          <w:lang w:eastAsia="en-US"/>
        </w:rPr>
        <w:t xml:space="preserve"> </w:t>
      </w:r>
      <w:r w:rsidR="00FD109C" w:rsidRPr="00FC7E6C">
        <w:rPr>
          <w:rFonts w:asciiTheme="minorHAnsi" w:eastAsiaTheme="minorHAnsi" w:hAnsiTheme="minorHAnsi" w:cstheme="minorBidi"/>
          <w:lang w:eastAsia="en-US"/>
        </w:rPr>
        <w:t>uygulama sırasında</w:t>
      </w:r>
      <w:r w:rsidRPr="00FC7E6C">
        <w:rPr>
          <w:rFonts w:asciiTheme="minorHAnsi" w:eastAsiaTheme="minorHAnsi" w:hAnsiTheme="minorHAnsi" w:cstheme="minorBidi"/>
          <w:lang w:eastAsia="en-US"/>
        </w:rPr>
        <w:t xml:space="preserve"> </w:t>
      </w:r>
      <w:r w:rsidR="00FD109C" w:rsidRPr="00FC7E6C">
        <w:rPr>
          <w:rFonts w:asciiTheme="minorHAnsi" w:eastAsiaTheme="minorHAnsi" w:hAnsiTheme="minorHAnsi" w:cstheme="minorBidi"/>
          <w:lang w:eastAsia="en-US"/>
        </w:rPr>
        <w:t>satın alacakları mal ve hizmetlerin</w:t>
      </w:r>
      <w:r w:rsidR="00FD109C">
        <w:rPr>
          <w:rFonts w:asciiTheme="minorHAnsi" w:eastAsiaTheme="minorHAnsi" w:hAnsiTheme="minorHAnsi" w:cstheme="minorBidi"/>
          <w:lang w:eastAsia="en-US"/>
        </w:rPr>
        <w:t xml:space="preserve"> </w:t>
      </w:r>
      <w:hyperlink r:id="rId12" w:history="1">
        <w:r w:rsidR="00FD109C">
          <w:rPr>
            <w:rStyle w:val="Kpr"/>
          </w:rPr>
          <w:t>https://www.tkdk.gov.tr/AltTedbir/leader-yaklasimi-yerel-kalkinma-stratejilerinin-uygulanmasi-28</w:t>
        </w:r>
      </w:hyperlink>
      <w:r w:rsidR="00FD109C">
        <w:t xml:space="preserve"> linkinde bulunan</w:t>
      </w:r>
      <w:r w:rsidR="00FD109C" w:rsidRPr="00FC7E6C">
        <w:rPr>
          <w:rFonts w:asciiTheme="minorHAnsi" w:eastAsiaTheme="minorHAnsi" w:hAnsiTheme="minorHAnsi" w:cstheme="minorBidi"/>
          <w:lang w:eastAsia="en-US"/>
        </w:rPr>
        <w:t xml:space="preserve"> Referans Fiyat Tablolarında yer alan referans birim fiyatları göz önünde bulundurmak zorundadır.</w:t>
      </w:r>
      <w:r w:rsidR="00FD109C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364116" w:rsidRPr="00364116" w:rsidRDefault="00364116" w:rsidP="002E0EE6">
      <w:pPr>
        <w:jc w:val="both"/>
      </w:pPr>
    </w:p>
    <w:p w:rsidR="00FD109C" w:rsidRDefault="008F0D86" w:rsidP="00ED78A3">
      <w:pPr>
        <w:jc w:val="both"/>
        <w:rPr>
          <w:b/>
          <w:sz w:val="24"/>
          <w:szCs w:val="24"/>
        </w:rPr>
      </w:pPr>
      <w:r w:rsidRPr="00FC7E6C">
        <w:rPr>
          <w:b/>
          <w:sz w:val="24"/>
          <w:szCs w:val="24"/>
        </w:rPr>
        <w:t xml:space="preserve">5. Ödeme Talep Paketinin Hazırlanması ve </w:t>
      </w:r>
      <w:proofErr w:type="spellStart"/>
      <w:r w:rsidRPr="00FC7E6C">
        <w:rPr>
          <w:b/>
          <w:sz w:val="24"/>
          <w:szCs w:val="24"/>
        </w:rPr>
        <w:t>TKDK’ya</w:t>
      </w:r>
      <w:proofErr w:type="spellEnd"/>
      <w:r w:rsidRPr="00FC7E6C">
        <w:rPr>
          <w:b/>
          <w:sz w:val="24"/>
          <w:szCs w:val="24"/>
        </w:rPr>
        <w:t xml:space="preserve"> Sunulması:</w:t>
      </w:r>
    </w:p>
    <w:p w:rsidR="0042701E" w:rsidRDefault="008F0D86" w:rsidP="00ED78A3">
      <w:pPr>
        <w:jc w:val="both"/>
        <w:rPr>
          <w:sz w:val="24"/>
          <w:szCs w:val="24"/>
        </w:rPr>
      </w:pPr>
      <w:r w:rsidRPr="00FC7E6C">
        <w:rPr>
          <w:sz w:val="24"/>
          <w:szCs w:val="24"/>
        </w:rPr>
        <w:t>Yerel Eylem Grupları LEADER Tedbiri kapsamında yap</w:t>
      </w:r>
      <w:r w:rsidR="00C26F1E" w:rsidRPr="00FC7E6C">
        <w:rPr>
          <w:sz w:val="24"/>
          <w:szCs w:val="24"/>
        </w:rPr>
        <w:t xml:space="preserve">acakları harcamaları için 3’er aylık periyodlar halinde </w:t>
      </w:r>
      <w:proofErr w:type="spellStart"/>
      <w:r w:rsidR="00C26F1E" w:rsidRPr="00FC7E6C">
        <w:rPr>
          <w:sz w:val="24"/>
          <w:szCs w:val="24"/>
        </w:rPr>
        <w:t>TKDK’dan</w:t>
      </w:r>
      <w:proofErr w:type="spellEnd"/>
      <w:r w:rsidR="00C26F1E" w:rsidRPr="00FC7E6C">
        <w:rPr>
          <w:sz w:val="24"/>
          <w:szCs w:val="24"/>
        </w:rPr>
        <w:t xml:space="preserve"> ödeme talebinde bulunabileceklerdir.</w:t>
      </w:r>
    </w:p>
    <w:p w:rsidR="008F0D86" w:rsidRDefault="00C26F1E" w:rsidP="00124284">
      <w:pPr>
        <w:rPr>
          <w:sz w:val="24"/>
          <w:szCs w:val="24"/>
        </w:rPr>
      </w:pPr>
      <w:r>
        <w:rPr>
          <w:sz w:val="24"/>
          <w:szCs w:val="24"/>
        </w:rPr>
        <w:t xml:space="preserve">Ödeme talebi </w:t>
      </w:r>
      <w:proofErr w:type="gramStart"/>
      <w:r>
        <w:rPr>
          <w:sz w:val="24"/>
          <w:szCs w:val="24"/>
        </w:rPr>
        <w:t>periyotları</w:t>
      </w:r>
      <w:proofErr w:type="gramEnd"/>
      <w:r>
        <w:rPr>
          <w:sz w:val="24"/>
          <w:szCs w:val="24"/>
        </w:rPr>
        <w:t xml:space="preserve"> aşağıdaki gibidir</w:t>
      </w:r>
      <w:r w:rsidR="00ED78A3">
        <w:rPr>
          <w:sz w:val="24"/>
          <w:szCs w:val="24"/>
        </w:rPr>
        <w:t>.</w:t>
      </w: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2579"/>
        <w:gridCol w:w="4183"/>
        <w:gridCol w:w="2310"/>
      </w:tblGrid>
      <w:tr w:rsidR="00330D00" w:rsidRPr="00910FDC" w:rsidTr="00124284">
        <w:trPr>
          <w:trHeight w:val="547"/>
        </w:trPr>
        <w:tc>
          <w:tcPr>
            <w:tcW w:w="2579" w:type="dxa"/>
          </w:tcPr>
          <w:p w:rsidR="00330D00" w:rsidRPr="00124284" w:rsidRDefault="00330D00">
            <w:pPr>
              <w:jc w:val="both"/>
              <w:rPr>
                <w:b/>
                <w:sz w:val="24"/>
                <w:szCs w:val="24"/>
              </w:rPr>
            </w:pPr>
            <w:r w:rsidRPr="00124284">
              <w:rPr>
                <w:b/>
                <w:sz w:val="24"/>
                <w:szCs w:val="24"/>
              </w:rPr>
              <w:t xml:space="preserve">1. Dönem: </w:t>
            </w:r>
          </w:p>
        </w:tc>
        <w:tc>
          <w:tcPr>
            <w:tcW w:w="4183" w:type="dxa"/>
          </w:tcPr>
          <w:p w:rsidR="00330D00" w:rsidRPr="00910FDC" w:rsidRDefault="00330D00" w:rsidP="00124284">
            <w:pPr>
              <w:rPr>
                <w:sz w:val="24"/>
                <w:szCs w:val="24"/>
              </w:rPr>
            </w:pPr>
            <w:r w:rsidRPr="00124284">
              <w:rPr>
                <w:b/>
                <w:sz w:val="24"/>
                <w:szCs w:val="24"/>
              </w:rPr>
              <w:t>Ocak</w:t>
            </w:r>
            <w:r w:rsidR="00124284" w:rsidRPr="00124284">
              <w:rPr>
                <w:b/>
                <w:sz w:val="24"/>
                <w:szCs w:val="24"/>
              </w:rPr>
              <w:t>-</w:t>
            </w:r>
            <w:r w:rsidRPr="00124284">
              <w:rPr>
                <w:b/>
                <w:sz w:val="24"/>
                <w:szCs w:val="24"/>
              </w:rPr>
              <w:t>Şubat</w:t>
            </w:r>
            <w:r w:rsidR="00124284" w:rsidRPr="00124284">
              <w:rPr>
                <w:b/>
                <w:sz w:val="24"/>
                <w:szCs w:val="24"/>
              </w:rPr>
              <w:t>-</w:t>
            </w:r>
            <w:r w:rsidRPr="00124284">
              <w:rPr>
                <w:b/>
                <w:sz w:val="24"/>
                <w:szCs w:val="24"/>
              </w:rPr>
              <w:t xml:space="preserve"> Mart</w:t>
            </w:r>
            <w:r>
              <w:rPr>
                <w:sz w:val="24"/>
                <w:szCs w:val="24"/>
              </w:rPr>
              <w:t xml:space="preserve"> aylarındaki harcamalar için </w:t>
            </w:r>
          </w:p>
        </w:tc>
        <w:tc>
          <w:tcPr>
            <w:tcW w:w="2310" w:type="dxa"/>
          </w:tcPr>
          <w:p w:rsidR="00330D00" w:rsidRPr="00124284" w:rsidRDefault="00330D00" w:rsidP="00910FDC">
            <w:pPr>
              <w:jc w:val="both"/>
              <w:rPr>
                <w:b/>
                <w:sz w:val="24"/>
                <w:szCs w:val="24"/>
              </w:rPr>
            </w:pPr>
            <w:r w:rsidRPr="00124284">
              <w:rPr>
                <w:b/>
                <w:sz w:val="24"/>
                <w:szCs w:val="24"/>
              </w:rPr>
              <w:t>1-15 Nisan</w:t>
            </w:r>
          </w:p>
        </w:tc>
      </w:tr>
      <w:tr w:rsidR="00330D00" w:rsidRPr="00910FDC" w:rsidTr="00124284">
        <w:trPr>
          <w:trHeight w:val="547"/>
        </w:trPr>
        <w:tc>
          <w:tcPr>
            <w:tcW w:w="2579" w:type="dxa"/>
          </w:tcPr>
          <w:p w:rsidR="00330D00" w:rsidRPr="00124284" w:rsidRDefault="00330D00">
            <w:pPr>
              <w:jc w:val="both"/>
              <w:rPr>
                <w:b/>
                <w:sz w:val="24"/>
                <w:szCs w:val="24"/>
              </w:rPr>
            </w:pPr>
            <w:r w:rsidRPr="00124284">
              <w:rPr>
                <w:b/>
                <w:sz w:val="24"/>
                <w:szCs w:val="24"/>
              </w:rPr>
              <w:t xml:space="preserve">2. Dönem: </w:t>
            </w:r>
          </w:p>
        </w:tc>
        <w:tc>
          <w:tcPr>
            <w:tcW w:w="4183" w:type="dxa"/>
          </w:tcPr>
          <w:p w:rsidR="00330D00" w:rsidRPr="00910FDC" w:rsidRDefault="00330D00" w:rsidP="00124284">
            <w:pPr>
              <w:rPr>
                <w:sz w:val="24"/>
                <w:szCs w:val="24"/>
              </w:rPr>
            </w:pPr>
            <w:r w:rsidRPr="00124284">
              <w:rPr>
                <w:b/>
                <w:sz w:val="24"/>
                <w:szCs w:val="24"/>
              </w:rPr>
              <w:t>Nisan</w:t>
            </w:r>
            <w:r w:rsidR="00124284" w:rsidRPr="00124284">
              <w:rPr>
                <w:b/>
                <w:sz w:val="24"/>
                <w:szCs w:val="24"/>
              </w:rPr>
              <w:t>-</w:t>
            </w:r>
            <w:r w:rsidRPr="00124284">
              <w:rPr>
                <w:b/>
                <w:sz w:val="24"/>
                <w:szCs w:val="24"/>
              </w:rPr>
              <w:t>Mayıs</w:t>
            </w:r>
            <w:r w:rsidR="00124284" w:rsidRPr="00124284">
              <w:rPr>
                <w:b/>
                <w:sz w:val="24"/>
                <w:szCs w:val="24"/>
              </w:rPr>
              <w:t>-Haziran</w:t>
            </w:r>
            <w:r w:rsidR="00124284">
              <w:rPr>
                <w:sz w:val="24"/>
                <w:szCs w:val="24"/>
              </w:rPr>
              <w:t xml:space="preserve"> aylarındaki </w:t>
            </w:r>
            <w:r>
              <w:rPr>
                <w:sz w:val="24"/>
                <w:szCs w:val="24"/>
              </w:rPr>
              <w:t xml:space="preserve">harcamalar için </w:t>
            </w:r>
          </w:p>
        </w:tc>
        <w:tc>
          <w:tcPr>
            <w:tcW w:w="2310" w:type="dxa"/>
          </w:tcPr>
          <w:p w:rsidR="00330D00" w:rsidRPr="00124284" w:rsidRDefault="00330D00" w:rsidP="00910FDC">
            <w:pPr>
              <w:jc w:val="both"/>
              <w:rPr>
                <w:b/>
                <w:sz w:val="24"/>
                <w:szCs w:val="24"/>
              </w:rPr>
            </w:pPr>
            <w:r w:rsidRPr="00124284">
              <w:rPr>
                <w:b/>
                <w:sz w:val="24"/>
                <w:szCs w:val="24"/>
              </w:rPr>
              <w:t>1-15 Temmuz</w:t>
            </w:r>
          </w:p>
        </w:tc>
      </w:tr>
      <w:tr w:rsidR="00330D00" w:rsidRPr="00910FDC" w:rsidTr="00124284">
        <w:trPr>
          <w:trHeight w:val="547"/>
        </w:trPr>
        <w:tc>
          <w:tcPr>
            <w:tcW w:w="2579" w:type="dxa"/>
          </w:tcPr>
          <w:p w:rsidR="00330D00" w:rsidRPr="00124284" w:rsidRDefault="00330D00">
            <w:pPr>
              <w:jc w:val="both"/>
              <w:rPr>
                <w:b/>
                <w:sz w:val="24"/>
                <w:szCs w:val="24"/>
              </w:rPr>
            </w:pPr>
            <w:r w:rsidRPr="00124284">
              <w:rPr>
                <w:b/>
                <w:sz w:val="24"/>
                <w:szCs w:val="24"/>
              </w:rPr>
              <w:t xml:space="preserve">3. Dönem: </w:t>
            </w:r>
          </w:p>
        </w:tc>
        <w:tc>
          <w:tcPr>
            <w:tcW w:w="4183" w:type="dxa"/>
          </w:tcPr>
          <w:p w:rsidR="00330D00" w:rsidRPr="00910FDC" w:rsidRDefault="00330D00" w:rsidP="00124284">
            <w:pPr>
              <w:rPr>
                <w:sz w:val="24"/>
                <w:szCs w:val="24"/>
              </w:rPr>
            </w:pPr>
            <w:r w:rsidRPr="00124284">
              <w:rPr>
                <w:b/>
                <w:sz w:val="24"/>
                <w:szCs w:val="24"/>
              </w:rPr>
              <w:t>Temmuz</w:t>
            </w:r>
            <w:r w:rsidR="00124284" w:rsidRPr="00124284">
              <w:rPr>
                <w:b/>
                <w:sz w:val="24"/>
                <w:szCs w:val="24"/>
              </w:rPr>
              <w:t>-</w:t>
            </w:r>
            <w:r w:rsidRPr="00124284">
              <w:rPr>
                <w:b/>
                <w:sz w:val="24"/>
                <w:szCs w:val="24"/>
              </w:rPr>
              <w:t>Ağustos</w:t>
            </w:r>
            <w:r w:rsidR="00124284" w:rsidRPr="00124284">
              <w:rPr>
                <w:b/>
                <w:sz w:val="24"/>
                <w:szCs w:val="24"/>
              </w:rPr>
              <w:t>-</w:t>
            </w:r>
            <w:r w:rsidRPr="00124284">
              <w:rPr>
                <w:b/>
                <w:sz w:val="24"/>
                <w:szCs w:val="24"/>
              </w:rPr>
              <w:t>Eylül</w:t>
            </w:r>
            <w:r w:rsidRPr="00910F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aylarındaki harcamalar için</w:t>
            </w:r>
          </w:p>
        </w:tc>
        <w:tc>
          <w:tcPr>
            <w:tcW w:w="2310" w:type="dxa"/>
          </w:tcPr>
          <w:p w:rsidR="00330D00" w:rsidRPr="00124284" w:rsidRDefault="00330D00" w:rsidP="00910FDC">
            <w:pPr>
              <w:jc w:val="both"/>
              <w:rPr>
                <w:b/>
                <w:sz w:val="24"/>
                <w:szCs w:val="24"/>
              </w:rPr>
            </w:pPr>
            <w:r w:rsidRPr="00124284">
              <w:rPr>
                <w:b/>
                <w:sz w:val="24"/>
                <w:szCs w:val="24"/>
              </w:rPr>
              <w:t>1-15 Ekim</w:t>
            </w:r>
          </w:p>
        </w:tc>
      </w:tr>
      <w:tr w:rsidR="00330D00" w:rsidRPr="00910FDC" w:rsidTr="00124284">
        <w:trPr>
          <w:trHeight w:val="534"/>
        </w:trPr>
        <w:tc>
          <w:tcPr>
            <w:tcW w:w="2579" w:type="dxa"/>
          </w:tcPr>
          <w:p w:rsidR="00330D00" w:rsidRPr="00124284" w:rsidRDefault="00330D00">
            <w:pPr>
              <w:jc w:val="both"/>
              <w:rPr>
                <w:b/>
                <w:sz w:val="24"/>
                <w:szCs w:val="24"/>
              </w:rPr>
            </w:pPr>
            <w:r w:rsidRPr="00124284">
              <w:rPr>
                <w:b/>
                <w:sz w:val="24"/>
                <w:szCs w:val="24"/>
              </w:rPr>
              <w:t xml:space="preserve">4. Dönem: </w:t>
            </w:r>
          </w:p>
        </w:tc>
        <w:tc>
          <w:tcPr>
            <w:tcW w:w="4183" w:type="dxa"/>
          </w:tcPr>
          <w:p w:rsidR="00330D00" w:rsidRPr="00910FDC" w:rsidRDefault="00330D00" w:rsidP="00124284">
            <w:pPr>
              <w:rPr>
                <w:sz w:val="24"/>
                <w:szCs w:val="24"/>
              </w:rPr>
            </w:pPr>
            <w:r w:rsidRPr="00124284">
              <w:rPr>
                <w:b/>
                <w:sz w:val="24"/>
                <w:szCs w:val="24"/>
              </w:rPr>
              <w:t>Ekim</w:t>
            </w:r>
            <w:r w:rsidR="00124284" w:rsidRPr="00124284">
              <w:rPr>
                <w:b/>
                <w:sz w:val="24"/>
                <w:szCs w:val="24"/>
              </w:rPr>
              <w:t>-</w:t>
            </w:r>
            <w:r w:rsidRPr="00124284">
              <w:rPr>
                <w:b/>
                <w:sz w:val="24"/>
                <w:szCs w:val="24"/>
              </w:rPr>
              <w:t>Kasım</w:t>
            </w:r>
            <w:r w:rsidR="00124284" w:rsidRPr="00124284">
              <w:rPr>
                <w:b/>
                <w:sz w:val="24"/>
                <w:szCs w:val="24"/>
              </w:rPr>
              <w:t>-</w:t>
            </w:r>
            <w:r w:rsidRPr="00124284">
              <w:rPr>
                <w:b/>
                <w:sz w:val="24"/>
                <w:szCs w:val="24"/>
              </w:rPr>
              <w:t>Aralık</w:t>
            </w:r>
            <w:r w:rsidRPr="00910F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aylarındaki harcamalar için </w:t>
            </w:r>
          </w:p>
        </w:tc>
        <w:tc>
          <w:tcPr>
            <w:tcW w:w="2310" w:type="dxa"/>
          </w:tcPr>
          <w:p w:rsidR="00330D00" w:rsidRPr="00124284" w:rsidRDefault="00330D00" w:rsidP="00910FDC">
            <w:pPr>
              <w:jc w:val="both"/>
              <w:rPr>
                <w:b/>
                <w:sz w:val="24"/>
                <w:szCs w:val="24"/>
              </w:rPr>
            </w:pPr>
            <w:r w:rsidRPr="00124284">
              <w:rPr>
                <w:b/>
                <w:sz w:val="24"/>
                <w:szCs w:val="24"/>
              </w:rPr>
              <w:t>1-15 Ocak</w:t>
            </w:r>
          </w:p>
        </w:tc>
      </w:tr>
    </w:tbl>
    <w:p w:rsidR="005577D6" w:rsidRDefault="005577D6" w:rsidP="00C26F1E">
      <w:pPr>
        <w:ind w:firstLine="708"/>
        <w:jc w:val="both"/>
        <w:rPr>
          <w:sz w:val="24"/>
          <w:szCs w:val="24"/>
        </w:rPr>
      </w:pPr>
      <w:r w:rsidRPr="005577D6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91440" distB="91440" distL="114300" distR="114300" simplePos="0" relativeHeight="251665408" behindDoc="0" locked="0" layoutInCell="1" allowOverlap="1" wp14:anchorId="387C4D73" wp14:editId="13B40B53">
                <wp:simplePos x="0" y="0"/>
                <wp:positionH relativeFrom="margin">
                  <wp:align>left</wp:align>
                </wp:positionH>
                <wp:positionV relativeFrom="paragraph">
                  <wp:posOffset>285115</wp:posOffset>
                </wp:positionV>
                <wp:extent cx="5856605" cy="1013460"/>
                <wp:effectExtent l="0" t="0" r="0" b="0"/>
                <wp:wrapTopAndBottom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6605" cy="1013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7D6" w:rsidRPr="00FC7E6C" w:rsidRDefault="0042701E" w:rsidP="00FC7E6C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/>
                              <w:jc w:val="both"/>
                              <w:rPr>
                                <w:b/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Sözleşme </w:t>
                            </w:r>
                            <w:r w:rsidR="00241E52">
                              <w:rPr>
                                <w:b/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>mzalama tarihi dikkate alındığında</w:t>
                            </w:r>
                            <w:r w:rsidR="005577D6" w:rsidRPr="00FC7E6C">
                              <w:rPr>
                                <w:b/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577D6" w:rsidRPr="00FC7E6C">
                              <w:rPr>
                                <w:b/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>YEG’ler</w:t>
                            </w:r>
                            <w:proofErr w:type="spellEnd"/>
                            <w:r w:rsidR="005577D6" w:rsidRPr="00FC7E6C">
                              <w:rPr>
                                <w:b/>
                                <w:i/>
                                <w:iCs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 ilk ödeme talep paketlerini 1-15 Ekim 2020 tarihleri arasında bağlı bulundukları TKDK İl Koordinatörlüklerine elden teslim edeceklerdir.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87C4D73" id="_x0000_s1030" type="#_x0000_t202" style="position:absolute;left:0;text-align:left;margin-left:0;margin-top:22.45pt;width:461.15pt;height:79.8pt;z-index:251665408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" filled="f" stroked="f">
                <v:textbox>
                  <w:txbxContent>
                    <w:p w:rsidR="005577D6" w:rsidRPr="00FC7E6C" w:rsidRDefault="0042701E" w:rsidP="00FC7E6C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/>
                        <w:jc w:val="both"/>
                        <w:rPr>
                          <w:b/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>
                        <w:rPr>
                          <w:b/>
                          <w:i/>
                          <w:iCs/>
                          <w:color w:val="4F81BD" w:themeColor="accent1"/>
                          <w:sz w:val="24"/>
                          <w:szCs w:val="24"/>
                        </w:rPr>
                        <w:t xml:space="preserve">Sözleşme </w:t>
                      </w:r>
                      <w:r w:rsidR="00241E52">
                        <w:rPr>
                          <w:b/>
                          <w:i/>
                          <w:iCs/>
                          <w:color w:val="4F81BD" w:themeColor="accent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b/>
                          <w:i/>
                          <w:iCs/>
                          <w:color w:val="4F81BD" w:themeColor="accent1"/>
                          <w:sz w:val="24"/>
                          <w:szCs w:val="24"/>
                        </w:rPr>
                        <w:t>mzalama tarihi dikkate alındığında</w:t>
                      </w:r>
                      <w:r w:rsidR="005577D6" w:rsidRPr="00FC7E6C">
                        <w:rPr>
                          <w:b/>
                          <w:i/>
                          <w:iCs/>
                          <w:color w:val="4F81BD" w:themeColor="accen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577D6" w:rsidRPr="00FC7E6C">
                        <w:rPr>
                          <w:b/>
                          <w:i/>
                          <w:iCs/>
                          <w:color w:val="4F81BD" w:themeColor="accent1"/>
                          <w:sz w:val="24"/>
                          <w:szCs w:val="24"/>
                        </w:rPr>
                        <w:t>YEG’ler</w:t>
                      </w:r>
                      <w:proofErr w:type="spellEnd"/>
                      <w:r w:rsidR="005577D6" w:rsidRPr="00FC7E6C">
                        <w:rPr>
                          <w:b/>
                          <w:i/>
                          <w:iCs/>
                          <w:color w:val="4F81BD" w:themeColor="accent1"/>
                          <w:sz w:val="24"/>
                          <w:szCs w:val="24"/>
                        </w:rPr>
                        <w:t xml:space="preserve"> ilk ödeme talep paketlerini 1-15 Ekim 2020 tarihleri arasında bağlı bulundukları TKDK İl Koordinatörlüklerine elden teslim edeceklerdir.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5577D6" w:rsidRDefault="005577D6" w:rsidP="00C26F1E">
      <w:pPr>
        <w:ind w:firstLine="708"/>
        <w:jc w:val="both"/>
        <w:rPr>
          <w:sz w:val="24"/>
          <w:szCs w:val="24"/>
        </w:rPr>
      </w:pPr>
    </w:p>
    <w:p w:rsidR="00FD109C" w:rsidRDefault="00FD109C" w:rsidP="00582A62">
      <w:pPr>
        <w:jc w:val="both"/>
        <w:rPr>
          <w:sz w:val="24"/>
          <w:szCs w:val="24"/>
        </w:rPr>
      </w:pPr>
      <w:proofErr w:type="spellStart"/>
      <w:r w:rsidRPr="00FC7E6C">
        <w:rPr>
          <w:sz w:val="24"/>
          <w:szCs w:val="24"/>
        </w:rPr>
        <w:t>YEG’ler</w:t>
      </w:r>
      <w:proofErr w:type="spellEnd"/>
      <w:r w:rsidRPr="00FC7E6C">
        <w:rPr>
          <w:sz w:val="24"/>
          <w:szCs w:val="24"/>
        </w:rPr>
        <w:t xml:space="preserve"> harcamaları sırasında </w:t>
      </w:r>
      <w:hyperlink r:id="rId13" w:history="1">
        <w:r w:rsidRPr="00FC7E6C">
          <w:rPr>
            <w:rStyle w:val="Kpr"/>
            <w:rFonts w:ascii="Times New Roman" w:eastAsia="Times New Roman" w:hAnsi="Times New Roman" w:cs="Times New Roman"/>
            <w:lang w:eastAsia="tr-TR"/>
          </w:rPr>
          <w:t>https://www.tkdk.gov.tr/AltTedbir/leader-yaklasimi-yerel-kalkinma-stratejilerinin-uygulanmasi-28</w:t>
        </w:r>
      </w:hyperlink>
      <w:r w:rsidR="00C26F1E">
        <w:rPr>
          <w:sz w:val="24"/>
          <w:szCs w:val="24"/>
        </w:rPr>
        <w:t xml:space="preserve"> yer </w:t>
      </w:r>
      <w:r w:rsidRPr="00FC7E6C">
        <w:rPr>
          <w:sz w:val="24"/>
          <w:szCs w:val="24"/>
        </w:rPr>
        <w:t xml:space="preserve">alan Ödeme Talep Paketi Hazırlama Rehberindeki </w:t>
      </w:r>
      <w:r w:rsidR="00351579">
        <w:rPr>
          <w:sz w:val="24"/>
          <w:szCs w:val="24"/>
        </w:rPr>
        <w:t>kurallara</w:t>
      </w:r>
      <w:r w:rsidRPr="00FC7E6C">
        <w:rPr>
          <w:sz w:val="24"/>
          <w:szCs w:val="24"/>
        </w:rPr>
        <w:t xml:space="preserve"> uygun hareket etmek zorundadır.</w:t>
      </w:r>
    </w:p>
    <w:p w:rsidR="009F505E" w:rsidRDefault="00C26F1E" w:rsidP="00582A62">
      <w:pPr>
        <w:jc w:val="both"/>
        <w:rPr>
          <w:sz w:val="24"/>
          <w:szCs w:val="24"/>
        </w:rPr>
      </w:pPr>
      <w:r>
        <w:rPr>
          <w:sz w:val="24"/>
          <w:szCs w:val="24"/>
        </w:rPr>
        <w:t>Ödeme Talep Paketlerinin</w:t>
      </w:r>
      <w:r w:rsidR="00DE63FE">
        <w:rPr>
          <w:sz w:val="24"/>
          <w:szCs w:val="24"/>
        </w:rPr>
        <w:t xml:space="preserve"> TKDK</w:t>
      </w:r>
      <w:r w:rsidR="0055471D" w:rsidRPr="00FC7E6C">
        <w:rPr>
          <w:sz w:val="24"/>
          <w:szCs w:val="24"/>
        </w:rPr>
        <w:t>’</w:t>
      </w:r>
      <w:r w:rsidR="00DE63FE">
        <w:rPr>
          <w:sz w:val="24"/>
          <w:szCs w:val="24"/>
        </w:rPr>
        <w:t xml:space="preserve"> ya</w:t>
      </w:r>
      <w:r>
        <w:rPr>
          <w:sz w:val="24"/>
          <w:szCs w:val="24"/>
        </w:rPr>
        <w:t xml:space="preserve"> tesliminden sonra</w:t>
      </w:r>
      <w:r w:rsidR="00DE63FE">
        <w:rPr>
          <w:sz w:val="24"/>
          <w:szCs w:val="24"/>
        </w:rPr>
        <w:t>,</w:t>
      </w:r>
      <w:r>
        <w:rPr>
          <w:sz w:val="24"/>
          <w:szCs w:val="24"/>
        </w:rPr>
        <w:t xml:space="preserve"> TKDK tarafından gerçekleştirilecek ödeme öncesi idari ve yerinde kontroller sonucun</w:t>
      </w:r>
      <w:r w:rsidR="00DE63FE">
        <w:rPr>
          <w:sz w:val="24"/>
          <w:szCs w:val="24"/>
        </w:rPr>
        <w:t>a göre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YEG’lerin</w:t>
      </w:r>
      <w:proofErr w:type="spellEnd"/>
      <w:r>
        <w:rPr>
          <w:sz w:val="24"/>
          <w:szCs w:val="24"/>
        </w:rPr>
        <w:t xml:space="preserve"> başvuru </w:t>
      </w:r>
      <w:r w:rsidR="00DE63FE">
        <w:rPr>
          <w:sz w:val="24"/>
          <w:szCs w:val="24"/>
        </w:rPr>
        <w:t>formunda</w:t>
      </w:r>
      <w:r w:rsidR="00241E52">
        <w:rPr>
          <w:sz w:val="24"/>
          <w:szCs w:val="24"/>
        </w:rPr>
        <w:t xml:space="preserve"> </w:t>
      </w:r>
      <w:r w:rsidR="00DE63FE">
        <w:rPr>
          <w:sz w:val="24"/>
          <w:szCs w:val="24"/>
        </w:rPr>
        <w:t>belirtilen</w:t>
      </w:r>
      <w:r>
        <w:rPr>
          <w:sz w:val="24"/>
          <w:szCs w:val="24"/>
        </w:rPr>
        <w:t xml:space="preserve"> banka hesaplarına ödemeler yapıla</w:t>
      </w:r>
      <w:r w:rsidR="00DE63FE">
        <w:rPr>
          <w:sz w:val="24"/>
          <w:szCs w:val="24"/>
        </w:rPr>
        <w:t>bilecektir.</w:t>
      </w:r>
    </w:p>
    <w:p w:rsidR="001515ED" w:rsidRPr="00990FED" w:rsidRDefault="001515ED" w:rsidP="00582A62">
      <w:pPr>
        <w:jc w:val="both"/>
        <w:rPr>
          <w:sz w:val="24"/>
          <w:szCs w:val="24"/>
        </w:rPr>
      </w:pPr>
    </w:p>
    <w:sectPr w:rsidR="001515ED" w:rsidRPr="00990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A25A0"/>
    <w:multiLevelType w:val="hybridMultilevel"/>
    <w:tmpl w:val="349A884A"/>
    <w:lvl w:ilvl="0" w:tplc="E54E6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EE1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444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103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3CA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BEA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8CD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D44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6ED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5552313"/>
    <w:multiLevelType w:val="hybridMultilevel"/>
    <w:tmpl w:val="909C4E7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5D69F4"/>
    <w:multiLevelType w:val="hybridMultilevel"/>
    <w:tmpl w:val="FDB24DA6"/>
    <w:lvl w:ilvl="0" w:tplc="58B22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2E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03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5EB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005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9E2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CAA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5E6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4EE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ED"/>
    <w:rsid w:val="00060007"/>
    <w:rsid w:val="000D07E4"/>
    <w:rsid w:val="000E1599"/>
    <w:rsid w:val="00124284"/>
    <w:rsid w:val="001515ED"/>
    <w:rsid w:val="00152A57"/>
    <w:rsid w:val="001F602F"/>
    <w:rsid w:val="00241890"/>
    <w:rsid w:val="00241E52"/>
    <w:rsid w:val="00256010"/>
    <w:rsid w:val="00272131"/>
    <w:rsid w:val="00293EBC"/>
    <w:rsid w:val="002E0EE6"/>
    <w:rsid w:val="00330D00"/>
    <w:rsid w:val="003379E8"/>
    <w:rsid w:val="00351579"/>
    <w:rsid w:val="003603CC"/>
    <w:rsid w:val="00364116"/>
    <w:rsid w:val="003E0300"/>
    <w:rsid w:val="0042701E"/>
    <w:rsid w:val="004370C0"/>
    <w:rsid w:val="00444B40"/>
    <w:rsid w:val="00457AAB"/>
    <w:rsid w:val="00491B39"/>
    <w:rsid w:val="004A6EC0"/>
    <w:rsid w:val="004A771C"/>
    <w:rsid w:val="004A7D9F"/>
    <w:rsid w:val="005533ED"/>
    <w:rsid w:val="0055471D"/>
    <w:rsid w:val="005577D6"/>
    <w:rsid w:val="005642B9"/>
    <w:rsid w:val="00571FAA"/>
    <w:rsid w:val="00582A62"/>
    <w:rsid w:val="005B536F"/>
    <w:rsid w:val="00626067"/>
    <w:rsid w:val="006A2A60"/>
    <w:rsid w:val="00702F17"/>
    <w:rsid w:val="00732934"/>
    <w:rsid w:val="00753ECC"/>
    <w:rsid w:val="00763697"/>
    <w:rsid w:val="00874564"/>
    <w:rsid w:val="008C6448"/>
    <w:rsid w:val="008F0D86"/>
    <w:rsid w:val="00903D51"/>
    <w:rsid w:val="00941530"/>
    <w:rsid w:val="00964D93"/>
    <w:rsid w:val="00983283"/>
    <w:rsid w:val="00990FED"/>
    <w:rsid w:val="009C3605"/>
    <w:rsid w:val="009D1D19"/>
    <w:rsid w:val="009F505E"/>
    <w:rsid w:val="00A36E5A"/>
    <w:rsid w:val="00A808BD"/>
    <w:rsid w:val="00AE2CB4"/>
    <w:rsid w:val="00B01671"/>
    <w:rsid w:val="00BC1BBC"/>
    <w:rsid w:val="00C15985"/>
    <w:rsid w:val="00C26F1E"/>
    <w:rsid w:val="00C45083"/>
    <w:rsid w:val="00C76170"/>
    <w:rsid w:val="00CB6074"/>
    <w:rsid w:val="00D32563"/>
    <w:rsid w:val="00D56C8D"/>
    <w:rsid w:val="00DB082D"/>
    <w:rsid w:val="00DE63FE"/>
    <w:rsid w:val="00DF2909"/>
    <w:rsid w:val="00E751BB"/>
    <w:rsid w:val="00EA0606"/>
    <w:rsid w:val="00ED2D23"/>
    <w:rsid w:val="00ED445E"/>
    <w:rsid w:val="00ED742C"/>
    <w:rsid w:val="00ED78A3"/>
    <w:rsid w:val="00F154AF"/>
    <w:rsid w:val="00F31498"/>
    <w:rsid w:val="00F41CF3"/>
    <w:rsid w:val="00FC7E6C"/>
    <w:rsid w:val="00FD109C"/>
    <w:rsid w:val="00FD4B63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A808B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A808B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F3149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6E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C64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30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A808B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A808B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F3149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6E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C64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30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6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3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www.tkdk.gov.tr/AltTedbir/leader-yaklasimi-yerel-kalkinma-stratejilerinin-uygulanmasi-28" TargetMode="Externa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hyperlink" Target="https://www.tkdk.gov.tr/AltTedbir/leader-yaklasimi-yerel-kalkinma-stratejilerinin-uygulanmasi-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25DC1C-59EE-4830-9D4F-9BEA76800DF5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11BBEBF1-764B-4FA6-B8C5-3D3D5C25FB63}">
      <dgm:prSet phldrT="[Metin]" custT="1"/>
      <dgm:spPr>
        <a:xfrm>
          <a:off x="1806456" y="606"/>
          <a:ext cx="900720" cy="90072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tr-TR" sz="1000" b="1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1.YKS'nin Değerlendirilmesi ve Seçimi</a:t>
          </a:r>
          <a:endParaRPr lang="tr-TR" sz="1000" b="1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AAD0CE6-8C18-4EF7-8C79-D6DD50FEBC7B}" type="parTrans" cxnId="{0C9928D1-8F3B-4CBE-81B8-36993DFA2894}">
      <dgm:prSet/>
      <dgm:spPr/>
      <dgm:t>
        <a:bodyPr/>
        <a:lstStyle/>
        <a:p>
          <a:endParaRPr lang="tr-TR"/>
        </a:p>
      </dgm:t>
    </dgm:pt>
    <dgm:pt modelId="{A5F37147-975A-4A88-ABDB-D35E5C67BD52}" type="sibTrans" cxnId="{0C9928D1-8F3B-4CBE-81B8-36993DFA2894}">
      <dgm:prSet/>
      <dgm:spPr>
        <a:xfrm rot="2212933">
          <a:off x="2669270" y="692915"/>
          <a:ext cx="225143" cy="303993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81D8E618-21C0-4A98-A31F-F53402B98134}">
      <dgm:prSet phldrT="[Metin]" custT="1"/>
      <dgm:spPr>
        <a:xfrm>
          <a:off x="2866700" y="796145"/>
          <a:ext cx="900720" cy="90072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000" b="1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2. TKDK ile S</a:t>
          </a:r>
          <a:r>
            <a:rPr lang="tr-TR" sz="1000" b="1" dirty="0" err="1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özleşme İmzalanması</a:t>
          </a:r>
          <a:endParaRPr lang="tr-TR" sz="1000" b="1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85F2A7D0-EC29-434A-9028-F9952702DB91}" type="parTrans" cxnId="{51FCB713-97D6-44FC-B560-D0CCA76667B5}">
      <dgm:prSet/>
      <dgm:spPr/>
      <dgm:t>
        <a:bodyPr/>
        <a:lstStyle/>
        <a:p>
          <a:endParaRPr lang="tr-TR"/>
        </a:p>
      </dgm:t>
    </dgm:pt>
    <dgm:pt modelId="{5FC5343F-9DE7-469F-8CF1-63678AC41F3B}" type="sibTrans" cxnId="{51FCB713-97D6-44FC-B560-D0CCA76667B5}">
      <dgm:prSet/>
      <dgm:spPr>
        <a:xfrm rot="6480000">
          <a:off x="2990273" y="1731424"/>
          <a:ext cx="239682" cy="303993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4387E42-E884-40C8-BE84-A5DE33CF5379}">
      <dgm:prSet phldrT="[Metin]" custT="1"/>
      <dgm:spPr>
        <a:xfrm>
          <a:off x="2448615" y="2082879"/>
          <a:ext cx="900720" cy="90072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000" b="1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3. Yıllık Uygulama Planının Hazırlanması</a:t>
          </a:r>
          <a:endParaRPr lang="tr-TR" sz="1000" b="1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E8ED0731-84BE-4613-852F-0626802DDC47}" type="parTrans" cxnId="{59084FBD-0E16-4B4F-B254-4BE9C6F847EE}">
      <dgm:prSet/>
      <dgm:spPr/>
      <dgm:t>
        <a:bodyPr/>
        <a:lstStyle/>
        <a:p>
          <a:endParaRPr lang="tr-TR"/>
        </a:p>
      </dgm:t>
    </dgm:pt>
    <dgm:pt modelId="{CDF2264A-075C-4C74-8D9F-C454CDA7B536}" type="sibTrans" cxnId="{59084FBD-0E16-4B4F-B254-4BE9C6F847EE}">
      <dgm:prSet/>
      <dgm:spPr>
        <a:xfrm rot="10800760">
          <a:off x="2135181" y="2381098"/>
          <a:ext cx="221493" cy="303993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/>
        </a:p>
      </dgm:t>
    </dgm:pt>
    <dgm:pt modelId="{00CDEEF8-FAA0-4841-8EF7-6ED1D71AA3AF}">
      <dgm:prSet phldrT="[Metin]" custT="1"/>
      <dgm:spPr>
        <a:xfrm>
          <a:off x="1129983" y="2082587"/>
          <a:ext cx="900720" cy="90072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000" b="1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4. YKS'nin Uygulanması</a:t>
          </a:r>
          <a:endParaRPr lang="tr-TR" sz="1000" b="1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6313C3ED-9B8F-4FF8-A8ED-9E93EA7B0F21}" type="parTrans" cxnId="{A1890830-1671-421E-AC3E-668625A4CFB1}">
      <dgm:prSet/>
      <dgm:spPr/>
      <dgm:t>
        <a:bodyPr/>
        <a:lstStyle/>
        <a:p>
          <a:endParaRPr lang="tr-TR"/>
        </a:p>
      </dgm:t>
    </dgm:pt>
    <dgm:pt modelId="{98E30C3F-2517-482A-8177-D2FB4A7A4EF2}" type="sibTrans" cxnId="{A1890830-1671-421E-AC3E-668625A4CFB1}">
      <dgm:prSet/>
      <dgm:spPr>
        <a:xfrm rot="15177777">
          <a:off x="1265292" y="1741791"/>
          <a:ext cx="238375" cy="303993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808DC90D-9FD9-4AB0-9F04-78116B2D33C9}">
      <dgm:prSet phldrT="[Metin]" custT="1"/>
      <dgm:spPr>
        <a:xfrm>
          <a:off x="734304" y="791366"/>
          <a:ext cx="900720" cy="900720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000" b="1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5. Ödeme Paketinin Hazırlanması ve TKDk'ya Sunulması</a:t>
          </a:r>
          <a:endParaRPr lang="tr-TR" sz="1000" b="1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C9D081B2-FBF8-43C2-B3D3-80C9A403C375}" type="parTrans" cxnId="{9BFEBB7C-3826-4F0A-9686-B2F77474043A}">
      <dgm:prSet/>
      <dgm:spPr/>
      <dgm:t>
        <a:bodyPr/>
        <a:lstStyle/>
        <a:p>
          <a:endParaRPr lang="tr-TR"/>
        </a:p>
      </dgm:t>
    </dgm:pt>
    <dgm:pt modelId="{F69710AA-5C60-4E9D-B5BF-F5CC422668C7}" type="sibTrans" cxnId="{9BFEBB7C-3826-4F0A-9686-B2F77474043A}">
      <dgm:prSet/>
      <dgm:spPr>
        <a:xfrm rot="19415374">
          <a:off x="1601184" y="698192"/>
          <a:ext cx="228695" cy="303993"/>
        </a:xfr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CEBA36D-19FE-483D-826F-0A475C6F013D}" type="pres">
      <dgm:prSet presAssocID="{7325DC1C-59EE-4830-9D4F-9BEA76800DF5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6AA61CF3-4A34-44DD-A235-38321DB722E4}" type="pres">
      <dgm:prSet presAssocID="{11BBEBF1-764B-4FA6-B8C5-3D3D5C25FB63}" presName="node" presStyleLbl="node1" presStyleIdx="0" presStyleCnt="5" custScaleX="135762" custScaleY="97913" custRadScaleRad="100070" custRadScaleInc="474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D18DCD6F-9E4E-4FF5-8470-50B062C39A64}" type="pres">
      <dgm:prSet presAssocID="{A5F37147-975A-4A88-ABDB-D35E5C67BD52}" presName="sibTrans" presStyleLbl="sibTrans2D1" presStyleIdx="0" presStyleCnt="5" custScaleX="188320" custLinFactNeighborX="6529" custLinFactNeighborY="4563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C1E87302-7DC0-497D-B1E2-97D4066358D4}" type="pres">
      <dgm:prSet presAssocID="{A5F37147-975A-4A88-ABDB-D35E5C67BD52}" presName="connectorText" presStyleLbl="sibTrans2D1" presStyleIdx="0" presStyleCnt="5"/>
      <dgm:spPr/>
      <dgm:t>
        <a:bodyPr/>
        <a:lstStyle/>
        <a:p>
          <a:endParaRPr lang="tr-TR"/>
        </a:p>
      </dgm:t>
    </dgm:pt>
    <dgm:pt modelId="{2BFC18A2-510B-4E8D-91ED-15B508F04ABF}" type="pres">
      <dgm:prSet presAssocID="{81D8E618-21C0-4A98-A31F-F53402B98134}" presName="node" presStyleLbl="node1" presStyleIdx="1" presStyleCnt="5" custScaleX="134575" custScaleY="99866" custRadScaleRad="102872" custRadScaleInc="144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1580AA51-222E-46FA-8EF8-3CD10D8EFA09}" type="pres">
      <dgm:prSet presAssocID="{5FC5343F-9DE7-469F-8CF1-63678AC41F3B}" presName="sibTrans" presStyleLbl="sibTrans2D1" presStyleIdx="1" presStyleCnt="5" custScaleX="15568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5746AE2-A556-4239-A987-A09952309EED}" type="pres">
      <dgm:prSet presAssocID="{5FC5343F-9DE7-469F-8CF1-63678AC41F3B}" presName="connectorText" presStyleLbl="sibTrans2D1" presStyleIdx="1" presStyleCnt="5"/>
      <dgm:spPr/>
      <dgm:t>
        <a:bodyPr/>
        <a:lstStyle/>
        <a:p>
          <a:endParaRPr lang="tr-TR"/>
        </a:p>
      </dgm:t>
    </dgm:pt>
    <dgm:pt modelId="{BFD8799A-EFE1-4D96-9645-1CF31C945FED}" type="pres">
      <dgm:prSet presAssocID="{04387E42-E884-40C8-BE84-A5DE33CF5379}" presName="node" presStyleLbl="node1" presStyleIdx="2" presStyleCnt="5" custScaleX="133226" custScaleY="100143" custRadScaleRad="107906" custRadScaleInc="-1635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1D9939C0-D109-421E-A7E5-D7E0A906FA7C}" type="pres">
      <dgm:prSet presAssocID="{CDF2264A-075C-4C74-8D9F-C454CDA7B536}" presName="sibTrans" presStyleLbl="sibTrans2D1" presStyleIdx="2" presStyleCnt="5" custScaleX="17504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6F2315FE-2488-4C34-AD7E-B786374A881B}" type="pres">
      <dgm:prSet presAssocID="{CDF2264A-075C-4C74-8D9F-C454CDA7B536}" presName="connectorText" presStyleLbl="sibTrans2D1" presStyleIdx="2" presStyleCnt="5"/>
      <dgm:spPr/>
      <dgm:t>
        <a:bodyPr/>
        <a:lstStyle/>
        <a:p>
          <a:endParaRPr lang="tr-TR"/>
        </a:p>
      </dgm:t>
    </dgm:pt>
    <dgm:pt modelId="{6A1E57F0-07D4-454B-88A8-4221EC38D33B}" type="pres">
      <dgm:prSet presAssocID="{00CDEEF8-FAA0-4841-8EF7-6ED1D71AA3AF}" presName="node" presStyleLbl="node1" presStyleIdx="3" presStyleCnt="5" custScaleX="131680" custRadScaleRad="97987" custRadScaleInc="-477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FD8247D9-F701-4007-B29B-3C3E0B6280D7}" type="pres">
      <dgm:prSet presAssocID="{98E30C3F-2517-482A-8177-D2FB4A7A4EF2}" presName="sibTrans" presStyleLbl="sibTrans2D1" presStyleIdx="3" presStyleCnt="5" custScaleX="14493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4A4B2CFF-D6EE-486E-AACD-C73714EE1DDB}" type="pres">
      <dgm:prSet presAssocID="{98E30C3F-2517-482A-8177-D2FB4A7A4EF2}" presName="connectorText" presStyleLbl="sibTrans2D1" presStyleIdx="3" presStyleCnt="5"/>
      <dgm:spPr/>
      <dgm:t>
        <a:bodyPr/>
        <a:lstStyle/>
        <a:p>
          <a:endParaRPr lang="tr-TR"/>
        </a:p>
      </dgm:t>
    </dgm:pt>
    <dgm:pt modelId="{4D88AFF9-6A2F-41F7-81B1-20F9FA1DE2BC}" type="pres">
      <dgm:prSet presAssocID="{808DC90D-9FD9-4AB0-9F04-78116B2D33C9}" presName="node" presStyleLbl="node1" presStyleIdx="4" presStyleCnt="5" custScaleX="133451" custRadScaleRad="99457" custRadScaleInc="98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C6F08B44-895A-4E25-B62F-1E7E9F5EF60A}" type="pres">
      <dgm:prSet presAssocID="{F69710AA-5C60-4E9D-B5BF-F5CC422668C7}" presName="sibTrans" presStyleLbl="sibTrans2D1" presStyleIdx="4" presStyleCnt="5" custScaleX="179206" custLinFactNeighborX="12017" custLinFactNeighborY="-4563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1BAD0168-1B18-420F-8476-350F0F43F0C1}" type="pres">
      <dgm:prSet presAssocID="{F69710AA-5C60-4E9D-B5BF-F5CC422668C7}" presName="connectorText" presStyleLbl="sibTrans2D1" presStyleIdx="4" presStyleCnt="5"/>
      <dgm:spPr/>
      <dgm:t>
        <a:bodyPr/>
        <a:lstStyle/>
        <a:p>
          <a:endParaRPr lang="tr-TR"/>
        </a:p>
      </dgm:t>
    </dgm:pt>
  </dgm:ptLst>
  <dgm:cxnLst>
    <dgm:cxn modelId="{9F893379-D162-46A6-B562-893F5AED5758}" type="presOf" srcId="{04387E42-E884-40C8-BE84-A5DE33CF5379}" destId="{BFD8799A-EFE1-4D96-9645-1CF31C945FED}" srcOrd="0" destOrd="0" presId="urn:microsoft.com/office/officeart/2005/8/layout/cycle2"/>
    <dgm:cxn modelId="{8E91899B-4ED5-47BA-8B1B-87BB8FBECFA9}" type="presOf" srcId="{808DC90D-9FD9-4AB0-9F04-78116B2D33C9}" destId="{4D88AFF9-6A2F-41F7-81B1-20F9FA1DE2BC}" srcOrd="0" destOrd="0" presId="urn:microsoft.com/office/officeart/2005/8/layout/cycle2"/>
    <dgm:cxn modelId="{E7A0E634-F588-4620-BE08-E3DBC3733540}" type="presOf" srcId="{CDF2264A-075C-4C74-8D9F-C454CDA7B536}" destId="{6F2315FE-2488-4C34-AD7E-B786374A881B}" srcOrd="1" destOrd="0" presId="urn:microsoft.com/office/officeart/2005/8/layout/cycle2"/>
    <dgm:cxn modelId="{97A0FCE7-61AD-4DF8-8B0A-B84ED3A08E4B}" type="presOf" srcId="{81D8E618-21C0-4A98-A31F-F53402B98134}" destId="{2BFC18A2-510B-4E8D-91ED-15B508F04ABF}" srcOrd="0" destOrd="0" presId="urn:microsoft.com/office/officeart/2005/8/layout/cycle2"/>
    <dgm:cxn modelId="{1E55914F-D01E-493E-B1AC-524EC90B6671}" type="presOf" srcId="{F69710AA-5C60-4E9D-B5BF-F5CC422668C7}" destId="{1BAD0168-1B18-420F-8476-350F0F43F0C1}" srcOrd="1" destOrd="0" presId="urn:microsoft.com/office/officeart/2005/8/layout/cycle2"/>
    <dgm:cxn modelId="{59084FBD-0E16-4B4F-B254-4BE9C6F847EE}" srcId="{7325DC1C-59EE-4830-9D4F-9BEA76800DF5}" destId="{04387E42-E884-40C8-BE84-A5DE33CF5379}" srcOrd="2" destOrd="0" parTransId="{E8ED0731-84BE-4613-852F-0626802DDC47}" sibTransId="{CDF2264A-075C-4C74-8D9F-C454CDA7B536}"/>
    <dgm:cxn modelId="{51FCB713-97D6-44FC-B560-D0CCA76667B5}" srcId="{7325DC1C-59EE-4830-9D4F-9BEA76800DF5}" destId="{81D8E618-21C0-4A98-A31F-F53402B98134}" srcOrd="1" destOrd="0" parTransId="{85F2A7D0-EC29-434A-9028-F9952702DB91}" sibTransId="{5FC5343F-9DE7-469F-8CF1-63678AC41F3B}"/>
    <dgm:cxn modelId="{72AB4B91-4E77-4DAA-A48C-7A2C611FBEED}" type="presOf" srcId="{5FC5343F-9DE7-469F-8CF1-63678AC41F3B}" destId="{1580AA51-222E-46FA-8EF8-3CD10D8EFA09}" srcOrd="0" destOrd="0" presId="urn:microsoft.com/office/officeart/2005/8/layout/cycle2"/>
    <dgm:cxn modelId="{B042CB95-C3A0-4621-924D-501FF3C813BB}" type="presOf" srcId="{A5F37147-975A-4A88-ABDB-D35E5C67BD52}" destId="{D18DCD6F-9E4E-4FF5-8470-50B062C39A64}" srcOrd="0" destOrd="0" presId="urn:microsoft.com/office/officeart/2005/8/layout/cycle2"/>
    <dgm:cxn modelId="{A1890830-1671-421E-AC3E-668625A4CFB1}" srcId="{7325DC1C-59EE-4830-9D4F-9BEA76800DF5}" destId="{00CDEEF8-FAA0-4841-8EF7-6ED1D71AA3AF}" srcOrd="3" destOrd="0" parTransId="{6313C3ED-9B8F-4FF8-A8ED-9E93EA7B0F21}" sibTransId="{98E30C3F-2517-482A-8177-D2FB4A7A4EF2}"/>
    <dgm:cxn modelId="{B63E1BF7-2219-4947-8AFD-1EB6A8B70F94}" type="presOf" srcId="{5FC5343F-9DE7-469F-8CF1-63678AC41F3B}" destId="{75746AE2-A556-4239-A987-A09952309EED}" srcOrd="1" destOrd="0" presId="urn:microsoft.com/office/officeart/2005/8/layout/cycle2"/>
    <dgm:cxn modelId="{C9BA3E4E-5C99-443A-818A-CFBE629A4832}" type="presOf" srcId="{7325DC1C-59EE-4830-9D4F-9BEA76800DF5}" destId="{4CEBA36D-19FE-483D-826F-0A475C6F013D}" srcOrd="0" destOrd="0" presId="urn:microsoft.com/office/officeart/2005/8/layout/cycle2"/>
    <dgm:cxn modelId="{AA5906CC-6887-4371-954F-EB62EB3A179F}" type="presOf" srcId="{11BBEBF1-764B-4FA6-B8C5-3D3D5C25FB63}" destId="{6AA61CF3-4A34-44DD-A235-38321DB722E4}" srcOrd="0" destOrd="0" presId="urn:microsoft.com/office/officeart/2005/8/layout/cycle2"/>
    <dgm:cxn modelId="{46B0BEF7-FF68-4269-9BBE-276C827632B9}" type="presOf" srcId="{98E30C3F-2517-482A-8177-D2FB4A7A4EF2}" destId="{4A4B2CFF-D6EE-486E-AACD-C73714EE1DDB}" srcOrd="1" destOrd="0" presId="urn:microsoft.com/office/officeart/2005/8/layout/cycle2"/>
    <dgm:cxn modelId="{38062C71-B82F-4391-A4DF-9443B475DC28}" type="presOf" srcId="{CDF2264A-075C-4C74-8D9F-C454CDA7B536}" destId="{1D9939C0-D109-421E-A7E5-D7E0A906FA7C}" srcOrd="0" destOrd="0" presId="urn:microsoft.com/office/officeart/2005/8/layout/cycle2"/>
    <dgm:cxn modelId="{C2CD9497-50F6-4008-86E6-889AD21801BB}" type="presOf" srcId="{A5F37147-975A-4A88-ABDB-D35E5C67BD52}" destId="{C1E87302-7DC0-497D-B1E2-97D4066358D4}" srcOrd="1" destOrd="0" presId="urn:microsoft.com/office/officeart/2005/8/layout/cycle2"/>
    <dgm:cxn modelId="{A8C54570-13BD-405E-8CFA-5E5BA3DA9011}" type="presOf" srcId="{98E30C3F-2517-482A-8177-D2FB4A7A4EF2}" destId="{FD8247D9-F701-4007-B29B-3C3E0B6280D7}" srcOrd="0" destOrd="0" presId="urn:microsoft.com/office/officeart/2005/8/layout/cycle2"/>
    <dgm:cxn modelId="{BA9B9836-7BE8-4FCE-8892-9C0F51B6C470}" type="presOf" srcId="{F69710AA-5C60-4E9D-B5BF-F5CC422668C7}" destId="{C6F08B44-895A-4E25-B62F-1E7E9F5EF60A}" srcOrd="0" destOrd="0" presId="urn:microsoft.com/office/officeart/2005/8/layout/cycle2"/>
    <dgm:cxn modelId="{51B690DD-2253-4F2F-A8A8-0BA883698FB7}" type="presOf" srcId="{00CDEEF8-FAA0-4841-8EF7-6ED1D71AA3AF}" destId="{6A1E57F0-07D4-454B-88A8-4221EC38D33B}" srcOrd="0" destOrd="0" presId="urn:microsoft.com/office/officeart/2005/8/layout/cycle2"/>
    <dgm:cxn modelId="{9BFEBB7C-3826-4F0A-9686-B2F77474043A}" srcId="{7325DC1C-59EE-4830-9D4F-9BEA76800DF5}" destId="{808DC90D-9FD9-4AB0-9F04-78116B2D33C9}" srcOrd="4" destOrd="0" parTransId="{C9D081B2-FBF8-43C2-B3D3-80C9A403C375}" sibTransId="{F69710AA-5C60-4E9D-B5BF-F5CC422668C7}"/>
    <dgm:cxn modelId="{0C9928D1-8F3B-4CBE-81B8-36993DFA2894}" srcId="{7325DC1C-59EE-4830-9D4F-9BEA76800DF5}" destId="{11BBEBF1-764B-4FA6-B8C5-3D3D5C25FB63}" srcOrd="0" destOrd="0" parTransId="{BAAD0CE6-8C18-4EF7-8C79-D6DD50FEBC7B}" sibTransId="{A5F37147-975A-4A88-ABDB-D35E5C67BD52}"/>
    <dgm:cxn modelId="{5FE2D5D8-FB7E-49CE-A0C9-89A063F32487}" type="presParOf" srcId="{4CEBA36D-19FE-483D-826F-0A475C6F013D}" destId="{6AA61CF3-4A34-44DD-A235-38321DB722E4}" srcOrd="0" destOrd="0" presId="urn:microsoft.com/office/officeart/2005/8/layout/cycle2"/>
    <dgm:cxn modelId="{F99B2ECA-54F1-4BDA-A877-360C1727241E}" type="presParOf" srcId="{4CEBA36D-19FE-483D-826F-0A475C6F013D}" destId="{D18DCD6F-9E4E-4FF5-8470-50B062C39A64}" srcOrd="1" destOrd="0" presId="urn:microsoft.com/office/officeart/2005/8/layout/cycle2"/>
    <dgm:cxn modelId="{9969EDFD-3F3B-4505-A701-12CF30A7C487}" type="presParOf" srcId="{D18DCD6F-9E4E-4FF5-8470-50B062C39A64}" destId="{C1E87302-7DC0-497D-B1E2-97D4066358D4}" srcOrd="0" destOrd="0" presId="urn:microsoft.com/office/officeart/2005/8/layout/cycle2"/>
    <dgm:cxn modelId="{6E729E5F-C84B-4DB5-8A75-98B589B20C6E}" type="presParOf" srcId="{4CEBA36D-19FE-483D-826F-0A475C6F013D}" destId="{2BFC18A2-510B-4E8D-91ED-15B508F04ABF}" srcOrd="2" destOrd="0" presId="urn:microsoft.com/office/officeart/2005/8/layout/cycle2"/>
    <dgm:cxn modelId="{A41221D6-CDDA-4F5B-807C-EE7D2A4A0188}" type="presParOf" srcId="{4CEBA36D-19FE-483D-826F-0A475C6F013D}" destId="{1580AA51-222E-46FA-8EF8-3CD10D8EFA09}" srcOrd="3" destOrd="0" presId="urn:microsoft.com/office/officeart/2005/8/layout/cycle2"/>
    <dgm:cxn modelId="{53EE1660-940F-4932-B6AA-AA2CF07EB8F4}" type="presParOf" srcId="{1580AA51-222E-46FA-8EF8-3CD10D8EFA09}" destId="{75746AE2-A556-4239-A987-A09952309EED}" srcOrd="0" destOrd="0" presId="urn:microsoft.com/office/officeart/2005/8/layout/cycle2"/>
    <dgm:cxn modelId="{E2674859-4D9F-4C65-822A-B8FBFAEBABA8}" type="presParOf" srcId="{4CEBA36D-19FE-483D-826F-0A475C6F013D}" destId="{BFD8799A-EFE1-4D96-9645-1CF31C945FED}" srcOrd="4" destOrd="0" presId="urn:microsoft.com/office/officeart/2005/8/layout/cycle2"/>
    <dgm:cxn modelId="{820F4774-48F3-447E-84FA-D2CF2D7ECB0C}" type="presParOf" srcId="{4CEBA36D-19FE-483D-826F-0A475C6F013D}" destId="{1D9939C0-D109-421E-A7E5-D7E0A906FA7C}" srcOrd="5" destOrd="0" presId="urn:microsoft.com/office/officeart/2005/8/layout/cycle2"/>
    <dgm:cxn modelId="{DE0CCE59-3D94-488A-8A17-FCB7E045CD97}" type="presParOf" srcId="{1D9939C0-D109-421E-A7E5-D7E0A906FA7C}" destId="{6F2315FE-2488-4C34-AD7E-B786374A881B}" srcOrd="0" destOrd="0" presId="urn:microsoft.com/office/officeart/2005/8/layout/cycle2"/>
    <dgm:cxn modelId="{BB13C242-3F87-4D3F-9ABD-8EC768E609CA}" type="presParOf" srcId="{4CEBA36D-19FE-483D-826F-0A475C6F013D}" destId="{6A1E57F0-07D4-454B-88A8-4221EC38D33B}" srcOrd="6" destOrd="0" presId="urn:microsoft.com/office/officeart/2005/8/layout/cycle2"/>
    <dgm:cxn modelId="{B175FBCE-DE98-4739-A856-97ED229696AA}" type="presParOf" srcId="{4CEBA36D-19FE-483D-826F-0A475C6F013D}" destId="{FD8247D9-F701-4007-B29B-3C3E0B6280D7}" srcOrd="7" destOrd="0" presId="urn:microsoft.com/office/officeart/2005/8/layout/cycle2"/>
    <dgm:cxn modelId="{BBCA2C50-5692-406F-973B-23DEA6C62BE1}" type="presParOf" srcId="{FD8247D9-F701-4007-B29B-3C3E0B6280D7}" destId="{4A4B2CFF-D6EE-486E-AACD-C73714EE1DDB}" srcOrd="0" destOrd="0" presId="urn:microsoft.com/office/officeart/2005/8/layout/cycle2"/>
    <dgm:cxn modelId="{727C68D0-C877-4DE1-8763-46D17E665C79}" type="presParOf" srcId="{4CEBA36D-19FE-483D-826F-0A475C6F013D}" destId="{4D88AFF9-6A2F-41F7-81B1-20F9FA1DE2BC}" srcOrd="8" destOrd="0" presId="urn:microsoft.com/office/officeart/2005/8/layout/cycle2"/>
    <dgm:cxn modelId="{B55319CF-F1F2-4D07-871B-0170EAF41DB0}" type="presParOf" srcId="{4CEBA36D-19FE-483D-826F-0A475C6F013D}" destId="{C6F08B44-895A-4E25-B62F-1E7E9F5EF60A}" srcOrd="9" destOrd="0" presId="urn:microsoft.com/office/officeart/2005/8/layout/cycle2"/>
    <dgm:cxn modelId="{9B97C817-2D2D-4DF0-A883-4C2E82373638}" type="presParOf" srcId="{C6F08B44-895A-4E25-B62F-1E7E9F5EF60A}" destId="{1BAD0168-1B18-420F-8476-350F0F43F0C1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A61CF3-4A34-44DD-A235-38321DB722E4}">
      <dsp:nvSpPr>
        <dsp:cNvPr id="0" name=""/>
        <dsp:cNvSpPr/>
      </dsp:nvSpPr>
      <dsp:spPr>
        <a:xfrm>
          <a:off x="2121586" y="10881"/>
          <a:ext cx="1401783" cy="1010981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1.YKS'nin Değerlendirilmesi ve Seçimi</a:t>
          </a:r>
          <a:endParaRPr lang="tr-TR" sz="1000" b="1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326872" y="158936"/>
        <a:ext cx="991211" cy="714871"/>
      </dsp:txXfrm>
    </dsp:sp>
    <dsp:sp modelId="{D18DCD6F-9E4E-4FF5-8470-50B062C39A64}">
      <dsp:nvSpPr>
        <dsp:cNvPr id="0" name=""/>
        <dsp:cNvSpPr/>
      </dsp:nvSpPr>
      <dsp:spPr>
        <a:xfrm rot="2160032">
          <a:off x="3292706" y="809910"/>
          <a:ext cx="326035" cy="348478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4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302046" y="850860"/>
        <a:ext cx="228225" cy="209086"/>
      </dsp:txXfrm>
    </dsp:sp>
    <dsp:sp modelId="{2BFC18A2-510B-4E8D-91ED-15B508F04ABF}">
      <dsp:nvSpPr>
        <dsp:cNvPr id="0" name=""/>
        <dsp:cNvSpPr/>
      </dsp:nvSpPr>
      <dsp:spPr>
        <a:xfrm>
          <a:off x="3382194" y="912249"/>
          <a:ext cx="1389527" cy="1031146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2. TKDK ile S</a:t>
          </a:r>
          <a:r>
            <a:rPr lang="tr-TR" sz="1000" b="1" kern="1200" dirty="0" err="1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özleşme İmzalanması</a:t>
          </a:r>
          <a:endParaRPr lang="tr-TR" sz="1000" b="1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585686" y="1063257"/>
        <a:ext cx="982543" cy="729130"/>
      </dsp:txXfrm>
    </dsp:sp>
    <dsp:sp modelId="{1580AA51-222E-46FA-8EF8-3CD10D8EFA09}">
      <dsp:nvSpPr>
        <dsp:cNvPr id="0" name=""/>
        <dsp:cNvSpPr/>
      </dsp:nvSpPr>
      <dsp:spPr>
        <a:xfrm rot="6191616">
          <a:off x="3716252" y="1979581"/>
          <a:ext cx="381020" cy="348478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4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3780454" y="1998385"/>
        <a:ext cx="276477" cy="209086"/>
      </dsp:txXfrm>
    </dsp:sp>
    <dsp:sp modelId="{BFD8799A-EFE1-4D96-9645-1CF31C945FED}">
      <dsp:nvSpPr>
        <dsp:cNvPr id="0" name=""/>
        <dsp:cNvSpPr/>
      </dsp:nvSpPr>
      <dsp:spPr>
        <a:xfrm>
          <a:off x="3045320" y="2377517"/>
          <a:ext cx="1375598" cy="1034006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3. Yıllık Uygulama Planının Hazırlanması</a:t>
          </a:r>
          <a:endParaRPr lang="tr-TR" sz="1000" b="1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246772" y="2528944"/>
        <a:ext cx="972694" cy="731152"/>
      </dsp:txXfrm>
    </dsp:sp>
    <dsp:sp modelId="{1D9939C0-D109-421E-A7E5-D7E0A906FA7C}">
      <dsp:nvSpPr>
        <dsp:cNvPr id="0" name=""/>
        <dsp:cNvSpPr/>
      </dsp:nvSpPr>
      <dsp:spPr>
        <a:xfrm rot="10782940">
          <a:off x="2751057" y="2724441"/>
          <a:ext cx="287723" cy="348478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400" kern="1200"/>
        </a:p>
      </dsp:txBody>
      <dsp:txXfrm rot="10800000">
        <a:off x="2837373" y="2793923"/>
        <a:ext cx="201406" cy="209086"/>
      </dsp:txXfrm>
    </dsp:sp>
    <dsp:sp modelId="{6A1E57F0-07D4-454B-88A8-4221EC38D33B}">
      <dsp:nvSpPr>
        <dsp:cNvPr id="0" name=""/>
        <dsp:cNvSpPr/>
      </dsp:nvSpPr>
      <dsp:spPr>
        <a:xfrm>
          <a:off x="1375578" y="2386581"/>
          <a:ext cx="1359635" cy="1032529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4. YKS'nin Uygulanması</a:t>
          </a:r>
          <a:endParaRPr lang="tr-TR" sz="1000" b="1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574692" y="2537791"/>
        <a:ext cx="961407" cy="730109"/>
      </dsp:txXfrm>
    </dsp:sp>
    <dsp:sp modelId="{FD8247D9-F701-4007-B29B-3C3E0B6280D7}">
      <dsp:nvSpPr>
        <dsp:cNvPr id="0" name=""/>
        <dsp:cNvSpPr/>
      </dsp:nvSpPr>
      <dsp:spPr>
        <a:xfrm rot="15045159">
          <a:off x="1603429" y="1995802"/>
          <a:ext cx="392195" cy="348478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4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672932" y="2114848"/>
        <a:ext cx="287652" cy="209086"/>
      </dsp:txXfrm>
    </dsp:sp>
    <dsp:sp modelId="{4D88AFF9-6A2F-41F7-81B1-20F9FA1DE2BC}">
      <dsp:nvSpPr>
        <dsp:cNvPr id="0" name=""/>
        <dsp:cNvSpPr/>
      </dsp:nvSpPr>
      <dsp:spPr>
        <a:xfrm>
          <a:off x="849497" y="906079"/>
          <a:ext cx="1377921" cy="1032529"/>
        </a:xfrm>
        <a:prstGeom prst="ellipse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5. Ödeme Paketinin Hazırlanması ve TKDk'ya Sunulması</a:t>
          </a:r>
          <a:endParaRPr lang="tr-TR" sz="1000" b="1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051289" y="1057289"/>
        <a:ext cx="974337" cy="730109"/>
      </dsp:txXfrm>
    </dsp:sp>
    <dsp:sp modelId="{C6F08B44-895A-4E25-B62F-1E7E9F5EF60A}">
      <dsp:nvSpPr>
        <dsp:cNvPr id="0" name=""/>
        <dsp:cNvSpPr/>
      </dsp:nvSpPr>
      <dsp:spPr>
        <a:xfrm rot="19487649">
          <a:off x="2034915" y="781988"/>
          <a:ext cx="327123" cy="348478"/>
        </a:xfrm>
        <a:prstGeom prst="righ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4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043890" y="879973"/>
        <a:ext cx="228986" cy="2090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BBAA0-A9D9-42BC-9B9A-55DB4BA0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Oguz Guven</cp:lastModifiedBy>
  <cp:revision>4</cp:revision>
  <cp:lastPrinted>2020-06-04T11:37:00Z</cp:lastPrinted>
  <dcterms:created xsi:type="dcterms:W3CDTF">2020-06-10T07:37:00Z</dcterms:created>
  <dcterms:modified xsi:type="dcterms:W3CDTF">2020-06-16T14:43:00Z</dcterms:modified>
</cp:coreProperties>
</file>